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0C5" w:rsidRDefault="005710C5" w:rsidP="003F7A27">
      <w:pPr>
        <w:tabs>
          <w:tab w:val="left" w:pos="-2268"/>
        </w:tabs>
        <w:spacing w:before="100" w:after="100"/>
        <w:ind w:left="0"/>
        <w:jc w:val="center"/>
        <w:outlineLvl w:val="0"/>
        <w:rPr>
          <w:rFonts w:cs="Arial"/>
          <w:b/>
          <w:sz w:val="22"/>
          <w:szCs w:val="22"/>
        </w:rPr>
      </w:pPr>
    </w:p>
    <w:p w:rsidR="003C6965" w:rsidRDefault="003C6965" w:rsidP="005710C5">
      <w:pPr>
        <w:pStyle w:val="Corpodetexto"/>
        <w:spacing w:before="240" w:after="240" w:line="360" w:lineRule="auto"/>
        <w:rPr>
          <w:rFonts w:ascii="Trebuchet MS" w:hAnsi="Trebuchet MS" w:cs="Trebuchet MS"/>
          <w:b/>
          <w:sz w:val="28"/>
        </w:rPr>
      </w:pPr>
    </w:p>
    <w:p w:rsidR="005710C5" w:rsidRPr="005710C5" w:rsidRDefault="005710C5" w:rsidP="005710C5">
      <w:pPr>
        <w:pStyle w:val="Corpodetexto"/>
        <w:spacing w:before="240" w:after="240" w:line="360" w:lineRule="auto"/>
        <w:rPr>
          <w:rFonts w:ascii="Trebuchet MS" w:hAnsi="Trebuchet MS" w:cs="Trebuchet MS"/>
          <w:b/>
          <w:sz w:val="28"/>
        </w:rPr>
      </w:pPr>
      <w:r w:rsidRPr="005710C5">
        <w:rPr>
          <w:rFonts w:ascii="Trebuchet MS" w:hAnsi="Trebuchet MS" w:cs="Trebuchet MS"/>
          <w:b/>
          <w:sz w:val="28"/>
        </w:rPr>
        <w:t>Anexo V</w:t>
      </w:r>
      <w:r w:rsidR="00DF058D">
        <w:rPr>
          <w:rFonts w:ascii="Trebuchet MS" w:hAnsi="Trebuchet MS" w:cs="Trebuchet MS"/>
          <w:b/>
          <w:sz w:val="28"/>
        </w:rPr>
        <w:t>II</w:t>
      </w:r>
      <w:r w:rsidRPr="005710C5">
        <w:rPr>
          <w:rFonts w:ascii="Trebuchet MS" w:hAnsi="Trebuchet MS" w:cs="Trebuchet MS"/>
          <w:b/>
          <w:sz w:val="28"/>
        </w:rPr>
        <w:t xml:space="preserve">I - </w:t>
      </w:r>
      <w:r w:rsidR="00501896" w:rsidRPr="00501896">
        <w:rPr>
          <w:rFonts w:ascii="Trebuchet MS" w:hAnsi="Trebuchet MS" w:cs="Trebuchet MS"/>
          <w:b/>
          <w:sz w:val="28"/>
        </w:rPr>
        <w:t xml:space="preserve">Requisitos das Medidas </w:t>
      </w:r>
      <w:r w:rsidR="00501896" w:rsidRPr="00501896">
        <w:rPr>
          <w:rFonts w:ascii="Trebuchet MS" w:hAnsi="Trebuchet MS" w:cs="Trebuchet MS"/>
          <w:b/>
          <w:sz w:val="28"/>
        </w:rPr>
        <w:t xml:space="preserve">e </w:t>
      </w:r>
      <w:r w:rsidR="00501896" w:rsidRPr="00501896">
        <w:rPr>
          <w:rFonts w:ascii="Trebuchet MS" w:hAnsi="Trebuchet MS" w:cs="Trebuchet MS"/>
          <w:b/>
          <w:sz w:val="28"/>
        </w:rPr>
        <w:t>Despesas elegíveis / Custos Padrão</w:t>
      </w:r>
    </w:p>
    <w:p w:rsidR="005710C5" w:rsidRDefault="005710C5" w:rsidP="003F7A27">
      <w:pPr>
        <w:tabs>
          <w:tab w:val="left" w:pos="-2268"/>
        </w:tabs>
        <w:spacing w:before="100" w:after="100"/>
        <w:ind w:left="0"/>
        <w:jc w:val="center"/>
        <w:outlineLvl w:val="0"/>
        <w:rPr>
          <w:rFonts w:cs="Arial"/>
          <w:b/>
          <w:sz w:val="22"/>
          <w:szCs w:val="22"/>
        </w:rPr>
      </w:pPr>
    </w:p>
    <w:p w:rsidR="0050142D" w:rsidRPr="003F7A27" w:rsidRDefault="00505BC6" w:rsidP="003F7A27">
      <w:pPr>
        <w:tabs>
          <w:tab w:val="left" w:pos="-2268"/>
        </w:tabs>
        <w:spacing w:before="100" w:after="100"/>
        <w:ind w:left="0"/>
        <w:jc w:val="center"/>
        <w:outlineLvl w:val="0"/>
        <w:rPr>
          <w:rFonts w:cs="Arial"/>
          <w:b/>
          <w:sz w:val="22"/>
          <w:szCs w:val="22"/>
        </w:rPr>
      </w:pPr>
      <w:r w:rsidRPr="003F7A27">
        <w:rPr>
          <w:rFonts w:cs="Arial"/>
          <w:b/>
          <w:sz w:val="22"/>
          <w:szCs w:val="22"/>
        </w:rPr>
        <w:t>A</w:t>
      </w:r>
      <w:r w:rsidR="003A3A9F" w:rsidRPr="003F7A27">
        <w:rPr>
          <w:rFonts w:cs="Arial"/>
          <w:b/>
          <w:sz w:val="22"/>
          <w:szCs w:val="22"/>
        </w:rPr>
        <w:t>nexo I</w:t>
      </w:r>
    </w:p>
    <w:p w:rsidR="003A3A9F" w:rsidRPr="002A7E9B" w:rsidRDefault="00A337BD" w:rsidP="003F7A27">
      <w:pPr>
        <w:tabs>
          <w:tab w:val="left" w:pos="-2268"/>
        </w:tabs>
        <w:spacing w:before="100" w:after="100"/>
        <w:ind w:left="0"/>
        <w:jc w:val="center"/>
        <w:outlineLvl w:val="0"/>
        <w:rPr>
          <w:rFonts w:eastAsia="Calibri" w:cs="Arial"/>
          <w:bCs/>
          <w:spacing w:val="0"/>
        </w:rPr>
      </w:pPr>
      <w:r w:rsidRPr="002A7E9B">
        <w:rPr>
          <w:rFonts w:cs="Arial"/>
          <w:u w:val="single"/>
        </w:rPr>
        <w:t>Requisitos d</w:t>
      </w:r>
      <w:r w:rsidR="00486645" w:rsidRPr="002A7E9B">
        <w:rPr>
          <w:rFonts w:cs="Arial"/>
          <w:u w:val="single"/>
        </w:rPr>
        <w:t>as</w:t>
      </w:r>
      <w:r w:rsidRPr="002A7E9B">
        <w:rPr>
          <w:rFonts w:cs="Arial"/>
          <w:u w:val="single"/>
        </w:rPr>
        <w:t xml:space="preserve"> </w:t>
      </w:r>
      <w:r w:rsidR="00260115" w:rsidRPr="002A7E9B">
        <w:rPr>
          <w:rFonts w:cs="Arial"/>
          <w:u w:val="single"/>
        </w:rPr>
        <w:t xml:space="preserve">Medidas </w:t>
      </w:r>
      <w:r w:rsidR="008678F6" w:rsidRPr="002A7E9B">
        <w:rPr>
          <w:rFonts w:cs="Arial"/>
          <w:u w:val="single"/>
        </w:rPr>
        <w:t>e Despesas Elegíveis em</w:t>
      </w:r>
      <w:r w:rsidR="00257D67" w:rsidRPr="002A7E9B">
        <w:rPr>
          <w:rFonts w:cs="Arial"/>
          <w:u w:val="single"/>
        </w:rPr>
        <w:t xml:space="preserve"> Eficiência Energética e Energias Renováveis, por tipologia de operação</w:t>
      </w: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3F7A27">
        <w:trPr>
          <w:trHeight w:val="20"/>
          <w:tblHeader/>
          <w:jc w:val="center"/>
        </w:trPr>
        <w:tc>
          <w:tcPr>
            <w:tcW w:w="5382" w:type="dxa"/>
            <w:tcBorders>
              <w:top w:val="single" w:sz="12" w:space="0" w:color="auto"/>
              <w:left w:val="single" w:sz="12" w:space="0" w:color="auto"/>
            </w:tcBorders>
            <w:shd w:val="clear" w:color="auto" w:fill="D9E2F3" w:themeFill="accent5" w:themeFillTint="33"/>
            <w:vAlign w:val="center"/>
          </w:tcPr>
          <w:p w:rsidR="00873E92" w:rsidRPr="002A7E9B" w:rsidRDefault="00323A05" w:rsidP="003F7A27">
            <w:pPr>
              <w:spacing w:before="100" w:after="100"/>
              <w:ind w:left="0"/>
              <w:jc w:val="center"/>
              <w:rPr>
                <w:rFonts w:eastAsia="Calibri" w:cs="Arial"/>
                <w:b/>
                <w:spacing w:val="0"/>
                <w:lang w:val="pt-PT"/>
              </w:rPr>
            </w:pPr>
            <w:r w:rsidRPr="002A7E9B">
              <w:rPr>
                <w:rFonts w:eastAsia="Calibri" w:cs="Arial"/>
                <w:b/>
                <w:spacing w:val="0"/>
                <w:lang w:val="pt-PT"/>
              </w:rPr>
              <w:t>Requisitos das m</w:t>
            </w:r>
            <w:r w:rsidR="00873E92" w:rsidRPr="002A7E9B">
              <w:rPr>
                <w:rFonts w:eastAsia="Calibri" w:cs="Arial"/>
                <w:b/>
                <w:spacing w:val="0"/>
                <w:lang w:val="pt-PT"/>
              </w:rPr>
              <w:t>edidas</w:t>
            </w:r>
          </w:p>
        </w:tc>
        <w:tc>
          <w:tcPr>
            <w:tcW w:w="8788" w:type="dxa"/>
            <w:tcBorders>
              <w:top w:val="single" w:sz="12" w:space="0" w:color="auto"/>
              <w:right w:val="single" w:sz="12" w:space="0" w:color="auto"/>
            </w:tcBorders>
            <w:shd w:val="clear" w:color="auto" w:fill="D9E2F3" w:themeFill="accent5" w:themeFillTint="33"/>
            <w:vAlign w:val="center"/>
          </w:tcPr>
          <w:p w:rsidR="00873E92" w:rsidRPr="002A7E9B" w:rsidRDefault="00ED6D52" w:rsidP="003F7A27">
            <w:pPr>
              <w:spacing w:before="100" w:after="100"/>
              <w:ind w:left="0"/>
              <w:jc w:val="center"/>
              <w:rPr>
                <w:rFonts w:eastAsia="Calibri" w:cs="Arial"/>
                <w:b/>
                <w:spacing w:val="0"/>
                <w:lang w:val="pt-PT"/>
              </w:rPr>
            </w:pPr>
            <w:r w:rsidRPr="002A7E9B">
              <w:rPr>
                <w:rFonts w:eastAsia="Calibri" w:cs="Arial"/>
                <w:b/>
                <w:spacing w:val="0"/>
                <w:lang w:val="pt-PT"/>
              </w:rPr>
              <w:t xml:space="preserve">Despesas </w:t>
            </w:r>
            <w:r w:rsidR="00C536FF" w:rsidRPr="002A7E9B">
              <w:rPr>
                <w:rFonts w:eastAsia="Calibri" w:cs="Arial"/>
                <w:b/>
                <w:spacing w:val="0"/>
                <w:lang w:val="pt-PT"/>
              </w:rPr>
              <w:t>Elegíveis</w:t>
            </w:r>
          </w:p>
        </w:tc>
      </w:tr>
      <w:tr w:rsidR="002A7E9B" w:rsidRPr="00512045" w:rsidTr="004E072F">
        <w:trPr>
          <w:trHeight w:val="336"/>
          <w:jc w:val="center"/>
        </w:trPr>
        <w:tc>
          <w:tcPr>
            <w:tcW w:w="14170" w:type="dxa"/>
            <w:gridSpan w:val="2"/>
            <w:tcBorders>
              <w:left w:val="single" w:sz="12" w:space="0" w:color="auto"/>
              <w:bottom w:val="single" w:sz="12" w:space="0" w:color="auto"/>
              <w:right w:val="single" w:sz="12" w:space="0" w:color="auto"/>
            </w:tcBorders>
            <w:shd w:val="clear" w:color="auto" w:fill="E7E6E6" w:themeFill="background2"/>
            <w:vAlign w:val="center"/>
          </w:tcPr>
          <w:p w:rsidR="00873E92" w:rsidRPr="002A7E9B" w:rsidRDefault="00765F26" w:rsidP="003F7A27">
            <w:pPr>
              <w:spacing w:before="100" w:after="100"/>
              <w:ind w:left="0"/>
              <w:rPr>
                <w:rFonts w:cs="Arial"/>
                <w:b/>
                <w:sz w:val="18"/>
                <w:szCs w:val="18"/>
                <w:lang w:val="pt-PT"/>
              </w:rPr>
            </w:pPr>
            <w:r>
              <w:rPr>
                <w:rFonts w:cs="Arial"/>
                <w:b/>
                <w:sz w:val="18"/>
                <w:szCs w:val="18"/>
                <w:lang w:val="pt-PT"/>
              </w:rPr>
              <w:t xml:space="preserve">Artigo 22º RE SEUR: </w:t>
            </w:r>
            <w:r w:rsidR="00512045" w:rsidRPr="00512045">
              <w:rPr>
                <w:rFonts w:cs="Arial"/>
                <w:b/>
                <w:sz w:val="18"/>
                <w:szCs w:val="18"/>
                <w:lang w:val="pt-PT"/>
              </w:rPr>
              <w:t>Intervenções nos processos produtivos das empresas que se encontrem previst</w:t>
            </w:r>
            <w:r w:rsidR="004F762C">
              <w:rPr>
                <w:rFonts w:cs="Arial"/>
                <w:b/>
                <w:sz w:val="18"/>
                <w:szCs w:val="18"/>
                <w:lang w:val="pt-PT"/>
              </w:rPr>
              <w:t>a</w:t>
            </w:r>
            <w:r w:rsidR="00512045" w:rsidRPr="00512045">
              <w:rPr>
                <w:rFonts w:cs="Arial"/>
                <w:b/>
                <w:sz w:val="18"/>
                <w:szCs w:val="18"/>
                <w:lang w:val="pt-PT"/>
              </w:rPr>
              <w:t>s na auditoria energética ex ante e que demonstrem os respetivos ganhos financeiros líquidos</w:t>
            </w:r>
          </w:p>
        </w:tc>
      </w:tr>
      <w:tr w:rsidR="00CB1898" w:rsidRPr="00CB1898" w:rsidTr="00A05769">
        <w:trPr>
          <w:trHeight w:val="1448"/>
          <w:jc w:val="center"/>
        </w:trPr>
        <w:tc>
          <w:tcPr>
            <w:tcW w:w="5382" w:type="dxa"/>
            <w:vMerge w:val="restart"/>
            <w:tcBorders>
              <w:top w:val="single" w:sz="12" w:space="0" w:color="auto"/>
              <w:left w:val="single" w:sz="12" w:space="0" w:color="auto"/>
            </w:tcBorders>
            <w:vAlign w:val="center"/>
          </w:tcPr>
          <w:p w:rsidR="00CB1898" w:rsidRPr="00CB1898" w:rsidRDefault="00765F26" w:rsidP="003F7A27">
            <w:pPr>
              <w:spacing w:before="100" w:after="100"/>
              <w:ind w:left="0"/>
              <w:rPr>
                <w:rFonts w:cs="Arial"/>
                <w:sz w:val="18"/>
                <w:szCs w:val="18"/>
                <w:lang w:val="pt-PT"/>
              </w:rPr>
            </w:pPr>
            <w:proofErr w:type="spellStart"/>
            <w:r>
              <w:rPr>
                <w:rFonts w:cs="Arial"/>
                <w:sz w:val="18"/>
                <w:szCs w:val="18"/>
                <w:lang w:val="pt-PT"/>
              </w:rPr>
              <w:t>Art</w:t>
            </w:r>
            <w:proofErr w:type="spellEnd"/>
            <w:r>
              <w:rPr>
                <w:rFonts w:cs="Arial"/>
                <w:sz w:val="18"/>
                <w:szCs w:val="18"/>
                <w:lang w:val="pt-PT"/>
              </w:rPr>
              <w:t xml:space="preserve">º 22º Nº 1 </w:t>
            </w:r>
            <w:r w:rsidR="00CB1898" w:rsidRPr="00CB1898">
              <w:rPr>
                <w:rFonts w:cs="Arial"/>
                <w:sz w:val="18"/>
                <w:szCs w:val="18"/>
                <w:lang w:val="pt-PT"/>
              </w:rPr>
              <w:t>f) Intervenções ao nível da implementação de sistemas de gestão técnica de energia, enquanto ferramen</w:t>
            </w:r>
            <w:bookmarkStart w:id="0" w:name="_GoBack"/>
            <w:bookmarkEnd w:id="0"/>
            <w:r w:rsidR="00CB1898" w:rsidRPr="00CB1898">
              <w:rPr>
                <w:rFonts w:cs="Arial"/>
                <w:sz w:val="18"/>
                <w:szCs w:val="18"/>
                <w:lang w:val="pt-PT"/>
              </w:rPr>
              <w:t>tas de gestão operacional capazes de induzir economias de energia nos equipamentos por estes monitorizados e geridos</w:t>
            </w:r>
          </w:p>
          <w:p w:rsidR="00CB1898" w:rsidRPr="00CB1898" w:rsidRDefault="00CB1898" w:rsidP="003F7A27">
            <w:pPr>
              <w:spacing w:before="100" w:after="100"/>
              <w:ind w:left="0"/>
              <w:rPr>
                <w:rFonts w:cs="Arial"/>
                <w:b/>
                <w:sz w:val="18"/>
                <w:szCs w:val="18"/>
                <w:lang w:val="pt-PT"/>
              </w:rPr>
            </w:pPr>
          </w:p>
          <w:p w:rsidR="00EC732D" w:rsidRPr="00CB1898" w:rsidRDefault="00EC732D" w:rsidP="003F7A27">
            <w:pPr>
              <w:spacing w:before="100" w:after="100"/>
              <w:ind w:left="0"/>
              <w:rPr>
                <w:rFonts w:cs="Arial"/>
                <w:b/>
                <w:sz w:val="18"/>
                <w:szCs w:val="18"/>
                <w:lang w:val="pt-PT"/>
              </w:rPr>
            </w:pPr>
            <w:r w:rsidRPr="00CB1898">
              <w:rPr>
                <w:rFonts w:cs="Arial"/>
                <w:b/>
                <w:sz w:val="18"/>
                <w:szCs w:val="18"/>
                <w:lang w:val="pt-PT"/>
              </w:rPr>
              <w:t>Requisitos:</w:t>
            </w:r>
          </w:p>
          <w:p w:rsidR="00EC732D" w:rsidRPr="00CB1898" w:rsidRDefault="00C53C03" w:rsidP="003F7A27">
            <w:pPr>
              <w:spacing w:before="100" w:after="100"/>
              <w:ind w:left="0"/>
              <w:rPr>
                <w:rFonts w:cs="Arial"/>
                <w:sz w:val="18"/>
                <w:szCs w:val="18"/>
                <w:lang w:val="pt-PT"/>
              </w:rPr>
            </w:pPr>
            <w:r w:rsidRPr="00CB1898">
              <w:rPr>
                <w:rFonts w:cs="Arial"/>
                <w:sz w:val="18"/>
                <w:szCs w:val="18"/>
                <w:lang w:val="pt-PT"/>
              </w:rPr>
              <w:t xml:space="preserve">Os </w:t>
            </w:r>
            <w:r w:rsidR="00EC732D" w:rsidRPr="00CB1898">
              <w:rPr>
                <w:rFonts w:cs="Arial"/>
                <w:sz w:val="18"/>
                <w:szCs w:val="18"/>
                <w:lang w:val="pt-PT"/>
              </w:rPr>
              <w:t xml:space="preserve">requisitos </w:t>
            </w:r>
            <w:r w:rsidRPr="00CB1898">
              <w:rPr>
                <w:rFonts w:cs="Arial"/>
                <w:sz w:val="18"/>
                <w:szCs w:val="18"/>
                <w:lang w:val="pt-PT"/>
              </w:rPr>
              <w:t>legais em vigor</w:t>
            </w:r>
            <w:r w:rsidR="00EC732D" w:rsidRPr="00CB1898">
              <w:rPr>
                <w:rFonts w:cs="Arial"/>
                <w:sz w:val="18"/>
                <w:szCs w:val="18"/>
                <w:lang w:val="pt-PT"/>
              </w:rPr>
              <w:t xml:space="preserve"> aplicáveis </w:t>
            </w:r>
            <w:r w:rsidRPr="00CB1898">
              <w:rPr>
                <w:rFonts w:cs="Arial"/>
                <w:sz w:val="18"/>
                <w:szCs w:val="18"/>
                <w:lang w:val="pt-PT"/>
              </w:rPr>
              <w:t>à tipologia da operação a implementar e edifício a intervencionar.</w:t>
            </w:r>
          </w:p>
        </w:tc>
        <w:tc>
          <w:tcPr>
            <w:tcW w:w="8788" w:type="dxa"/>
            <w:tcBorders>
              <w:top w:val="single" w:sz="12" w:space="0" w:color="auto"/>
              <w:right w:val="single" w:sz="12" w:space="0" w:color="auto"/>
            </w:tcBorders>
            <w:vAlign w:val="center"/>
          </w:tcPr>
          <w:p w:rsidR="00EC732D" w:rsidRPr="00CB1898" w:rsidRDefault="00EC732D" w:rsidP="003F7A27">
            <w:pPr>
              <w:pStyle w:val="PargrafodaLista"/>
              <w:numPr>
                <w:ilvl w:val="0"/>
                <w:numId w:val="6"/>
              </w:numPr>
              <w:spacing w:before="100" w:after="100" w:line="240" w:lineRule="auto"/>
              <w:rPr>
                <w:rFonts w:ascii="Arial" w:hAnsi="Arial" w:cs="Arial"/>
                <w:sz w:val="18"/>
                <w:szCs w:val="18"/>
                <w:lang w:val="pt-PT"/>
              </w:rPr>
            </w:pPr>
            <w:r w:rsidRPr="00CB1898">
              <w:rPr>
                <w:rFonts w:ascii="Arial" w:hAnsi="Arial" w:cs="Arial"/>
                <w:sz w:val="18"/>
                <w:szCs w:val="18"/>
                <w:lang w:val="pt-PT"/>
              </w:rPr>
              <w:t>Aquisição e instalação de equipamentos e sistemas que permitem, do ponto de vista do utilizador, gerir o consumo de energia da fração ou edifício (por ex. Termostatos, relógios programadores de corrente elétrica, reguladores de intensidade de luz).</w:t>
            </w:r>
          </w:p>
          <w:p w:rsidR="00EC732D" w:rsidRPr="00CB1898" w:rsidRDefault="00EC732D" w:rsidP="003F7A27">
            <w:pPr>
              <w:spacing w:before="100" w:after="100"/>
              <w:ind w:left="0"/>
              <w:rPr>
                <w:rFonts w:cs="Arial"/>
                <w:sz w:val="18"/>
                <w:szCs w:val="18"/>
                <w:lang w:val="pt-PT"/>
              </w:rPr>
            </w:pPr>
          </w:p>
          <w:p w:rsidR="00EC732D" w:rsidRPr="00CB1898" w:rsidRDefault="005221E3" w:rsidP="003F7A27">
            <w:pPr>
              <w:spacing w:before="100" w:after="100"/>
              <w:ind w:left="0"/>
              <w:rPr>
                <w:rFonts w:cs="Arial"/>
                <w:b/>
                <w:sz w:val="18"/>
                <w:szCs w:val="18"/>
                <w:lang w:val="pt-PT"/>
              </w:rPr>
            </w:pPr>
            <w:r w:rsidRPr="00CB1898">
              <w:rPr>
                <w:rFonts w:cs="Arial"/>
                <w:b/>
                <w:sz w:val="18"/>
                <w:szCs w:val="18"/>
                <w:lang w:val="pt-PT"/>
              </w:rPr>
              <w:t>Exemplos de operações não elegíveis (não exaustivo)</w:t>
            </w:r>
            <w:r w:rsidR="00EC732D" w:rsidRPr="00CB1898">
              <w:rPr>
                <w:rFonts w:cs="Arial"/>
                <w:b/>
                <w:sz w:val="18"/>
                <w:szCs w:val="18"/>
                <w:lang w:val="pt-PT"/>
              </w:rPr>
              <w:t>:</w:t>
            </w:r>
          </w:p>
          <w:p w:rsidR="00EC732D" w:rsidRPr="00CB1898" w:rsidRDefault="00EC732D" w:rsidP="003F7A27">
            <w:pPr>
              <w:pStyle w:val="PargrafodaLista"/>
              <w:numPr>
                <w:ilvl w:val="0"/>
                <w:numId w:val="7"/>
              </w:numPr>
              <w:spacing w:before="100" w:after="100" w:line="240" w:lineRule="auto"/>
              <w:rPr>
                <w:rFonts w:ascii="Arial" w:hAnsi="Arial" w:cs="Arial"/>
                <w:b/>
                <w:sz w:val="18"/>
                <w:szCs w:val="18"/>
                <w:lang w:val="pt-PT" w:eastAsia="pt-PT"/>
              </w:rPr>
            </w:pPr>
            <w:r w:rsidRPr="00CB1898">
              <w:rPr>
                <w:rFonts w:ascii="Arial" w:hAnsi="Arial" w:cs="Arial"/>
                <w:sz w:val="18"/>
                <w:szCs w:val="18"/>
                <w:lang w:val="pt-PT"/>
              </w:rPr>
              <w:t>Contadores inteligentes e eletrodomésticos que permitam regulação do consumo de energia.</w:t>
            </w:r>
          </w:p>
        </w:tc>
      </w:tr>
      <w:tr w:rsidR="00CB1898" w:rsidRPr="00CB1898" w:rsidTr="00A342B8">
        <w:trPr>
          <w:trHeight w:val="1028"/>
          <w:jc w:val="center"/>
        </w:trPr>
        <w:tc>
          <w:tcPr>
            <w:tcW w:w="5382" w:type="dxa"/>
            <w:vMerge/>
            <w:tcBorders>
              <w:left w:val="single" w:sz="12" w:space="0" w:color="auto"/>
              <w:bottom w:val="single" w:sz="12" w:space="0" w:color="auto"/>
            </w:tcBorders>
            <w:vAlign w:val="center"/>
          </w:tcPr>
          <w:p w:rsidR="00EC732D" w:rsidRPr="00CB1898"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CB1898" w:rsidRDefault="00EC732D" w:rsidP="003F7A27">
            <w:pPr>
              <w:spacing w:before="100" w:after="100"/>
              <w:ind w:left="0"/>
              <w:rPr>
                <w:rFonts w:cs="Arial"/>
                <w:sz w:val="18"/>
                <w:szCs w:val="18"/>
              </w:rPr>
            </w:pPr>
            <w:r w:rsidRPr="00CB1898">
              <w:rPr>
                <w:rFonts w:cs="Arial"/>
                <w:b/>
                <w:sz w:val="18"/>
                <w:szCs w:val="18"/>
                <w:lang w:val="pt-PT"/>
              </w:rPr>
              <w:t xml:space="preserve">Custos Padrão: </w:t>
            </w:r>
            <w:r w:rsidR="00B63B2D" w:rsidRPr="00CB1898">
              <w:rPr>
                <w:rFonts w:cs="Arial"/>
                <w:sz w:val="18"/>
                <w:szCs w:val="18"/>
                <w:lang w:val="pt-PT"/>
              </w:rPr>
              <w:t>Não</w:t>
            </w:r>
            <w:r w:rsidR="00105269" w:rsidRPr="00CB1898">
              <w:rPr>
                <w:rFonts w:cs="Arial"/>
                <w:sz w:val="18"/>
                <w:szCs w:val="18"/>
                <w:lang w:val="pt-PT"/>
              </w:rPr>
              <w:t>.</w:t>
            </w:r>
          </w:p>
        </w:tc>
      </w:tr>
    </w:tbl>
    <w:p w:rsidR="00E00705" w:rsidRDefault="00E00705" w:rsidP="003F7A27">
      <w:pPr>
        <w:spacing w:before="100" w:after="100"/>
        <w:ind w:left="0"/>
        <w:rPr>
          <w:sz w:val="18"/>
        </w:rPr>
      </w:pPr>
    </w:p>
    <w:p w:rsidR="00E00705" w:rsidRDefault="00E00705">
      <w:pPr>
        <w:spacing w:after="160" w:line="259" w:lineRule="auto"/>
        <w:ind w:left="0"/>
        <w:rPr>
          <w:sz w:val="18"/>
        </w:rPr>
      </w:pPr>
      <w:r>
        <w:rPr>
          <w:sz w:val="18"/>
        </w:rPr>
        <w:br w:type="page"/>
      </w:r>
    </w:p>
    <w:p w:rsidR="00247C4E" w:rsidRPr="002A7E9B" w:rsidRDefault="00247C4E" w:rsidP="003F7A27">
      <w:pPr>
        <w:spacing w:before="100" w:after="100"/>
        <w:ind w:left="0"/>
        <w:rPr>
          <w:sz w:val="18"/>
        </w:rPr>
      </w:pP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632E6F">
        <w:trPr>
          <w:trHeight w:val="20"/>
          <w:jc w:val="center"/>
        </w:trPr>
        <w:tc>
          <w:tcPr>
            <w:tcW w:w="5382" w:type="dxa"/>
            <w:tcBorders>
              <w:top w:val="single" w:sz="12" w:space="0" w:color="auto"/>
              <w:lef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Requisitos das medidas</w:t>
            </w:r>
          </w:p>
        </w:tc>
        <w:tc>
          <w:tcPr>
            <w:tcW w:w="8788" w:type="dxa"/>
            <w:tcBorders>
              <w:top w:val="single" w:sz="12" w:space="0" w:color="auto"/>
              <w:righ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Despesas Elegíveis</w:t>
            </w:r>
          </w:p>
        </w:tc>
      </w:tr>
      <w:tr w:rsidR="002A7E9B" w:rsidRPr="002A7E9B" w:rsidTr="004E072F">
        <w:trPr>
          <w:trHeight w:val="576"/>
          <w:jc w:val="center"/>
        </w:trPr>
        <w:tc>
          <w:tcPr>
            <w:tcW w:w="1417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EC732D" w:rsidRPr="002A7E9B" w:rsidRDefault="00765F26" w:rsidP="003F7A27">
            <w:pPr>
              <w:spacing w:before="100" w:after="100"/>
              <w:ind w:left="0"/>
              <w:rPr>
                <w:rFonts w:cs="Arial"/>
                <w:b/>
                <w:sz w:val="18"/>
                <w:szCs w:val="18"/>
                <w:lang w:val="pt-PT"/>
              </w:rPr>
            </w:pPr>
            <w:r>
              <w:rPr>
                <w:rFonts w:cs="Arial"/>
                <w:b/>
                <w:sz w:val="18"/>
                <w:szCs w:val="18"/>
                <w:lang w:val="pt-PT"/>
              </w:rPr>
              <w:t xml:space="preserve">Artigo 22 RE SEUR: </w:t>
            </w:r>
            <w:r w:rsidR="004F762C" w:rsidRPr="004F762C">
              <w:rPr>
                <w:rFonts w:cs="Arial"/>
                <w:b/>
                <w:sz w:val="18"/>
                <w:szCs w:val="18"/>
                <w:lang w:val="pt-PT"/>
              </w:rPr>
              <w:t>Intervenções ao nível da promoção de energias renováveis nas empresas para autoconsumo, desde que façam parte de soluções integradas que visem a eficiência energética</w:t>
            </w:r>
          </w:p>
        </w:tc>
      </w:tr>
      <w:tr w:rsidR="002A7E9B" w:rsidRPr="002A7E9B" w:rsidTr="00A05769">
        <w:trPr>
          <w:trHeight w:val="2070"/>
          <w:jc w:val="center"/>
        </w:trPr>
        <w:tc>
          <w:tcPr>
            <w:tcW w:w="5382" w:type="dxa"/>
            <w:vMerge w:val="restart"/>
            <w:tcBorders>
              <w:top w:val="single" w:sz="12" w:space="0" w:color="auto"/>
              <w:left w:val="single" w:sz="12" w:space="0" w:color="auto"/>
            </w:tcBorders>
            <w:vAlign w:val="center"/>
          </w:tcPr>
          <w:p w:rsidR="00CB1898" w:rsidRDefault="00765F26" w:rsidP="003F7A27">
            <w:pPr>
              <w:spacing w:before="100" w:after="100"/>
              <w:ind w:left="0"/>
              <w:rPr>
                <w:rFonts w:cs="Arial"/>
                <w:sz w:val="18"/>
                <w:szCs w:val="18"/>
                <w:lang w:val="pt-PT"/>
              </w:rPr>
            </w:pPr>
            <w:proofErr w:type="spellStart"/>
            <w:r>
              <w:rPr>
                <w:rFonts w:cs="Arial"/>
                <w:sz w:val="18"/>
                <w:szCs w:val="18"/>
                <w:lang w:val="pt-PT"/>
              </w:rPr>
              <w:t>Art</w:t>
            </w:r>
            <w:proofErr w:type="spellEnd"/>
            <w:r>
              <w:rPr>
                <w:rFonts w:cs="Arial"/>
                <w:sz w:val="18"/>
                <w:szCs w:val="18"/>
                <w:lang w:val="pt-PT"/>
              </w:rPr>
              <w:t xml:space="preserve">º 22º Nº 2 </w:t>
            </w:r>
            <w:r w:rsidR="00CB1898" w:rsidRPr="00CB1898">
              <w:rPr>
                <w:rFonts w:cs="Arial"/>
                <w:sz w:val="18"/>
                <w:szCs w:val="18"/>
                <w:lang w:val="pt-PT"/>
              </w:rPr>
              <w:t>b) Instalação de sistemas de produção de energia para autoconsumo a partir de fontes de energia renovável.</w:t>
            </w:r>
          </w:p>
          <w:p w:rsidR="00CB1898" w:rsidRDefault="00CB1898" w:rsidP="003F7A27">
            <w:pPr>
              <w:spacing w:before="100" w:after="100"/>
              <w:ind w:left="0"/>
              <w:rPr>
                <w:rFonts w:cs="Arial"/>
                <w:sz w:val="18"/>
                <w:szCs w:val="18"/>
                <w:lang w:val="pt-PT"/>
              </w:rPr>
            </w:pPr>
          </w:p>
          <w:p w:rsidR="00EC732D" w:rsidRPr="002A7E9B" w:rsidRDefault="00EC732D" w:rsidP="003F7A27">
            <w:pPr>
              <w:spacing w:before="100" w:after="100"/>
              <w:ind w:left="0"/>
              <w:rPr>
                <w:rFonts w:cs="Arial"/>
                <w:b/>
                <w:sz w:val="18"/>
                <w:szCs w:val="18"/>
                <w:lang w:val="pt-PT"/>
              </w:rPr>
            </w:pPr>
            <w:r w:rsidRPr="002A7E9B">
              <w:rPr>
                <w:rFonts w:cs="Arial"/>
                <w:b/>
                <w:sz w:val="18"/>
                <w:szCs w:val="18"/>
                <w:lang w:val="pt-PT"/>
              </w:rPr>
              <w:t>Requisitos:</w:t>
            </w:r>
          </w:p>
          <w:p w:rsidR="00555DFC" w:rsidRPr="002A7E9B" w:rsidRDefault="00555DFC" w:rsidP="003F7A27">
            <w:pPr>
              <w:spacing w:before="100" w:after="100"/>
              <w:ind w:left="0"/>
              <w:rPr>
                <w:rFonts w:cs="Arial"/>
                <w:sz w:val="18"/>
                <w:szCs w:val="18"/>
                <w:lang w:val="pt-PT"/>
              </w:rPr>
            </w:pPr>
            <w:r w:rsidRPr="002A7E9B">
              <w:rPr>
                <w:rFonts w:cs="Arial"/>
                <w:sz w:val="18"/>
                <w:szCs w:val="18"/>
                <w:lang w:val="pt-PT"/>
              </w:rPr>
              <w:t>Os requisitos legais em vigor aplicáveis à tipologia da operação a implementar e edifício a intervencionar.</w:t>
            </w:r>
          </w:p>
          <w:p w:rsidR="00EC732D" w:rsidRPr="002A7E9B" w:rsidRDefault="00EC732D" w:rsidP="003F7A27">
            <w:pPr>
              <w:spacing w:before="100" w:after="100"/>
              <w:ind w:left="0"/>
              <w:rPr>
                <w:rFonts w:cs="Arial"/>
                <w:sz w:val="18"/>
                <w:szCs w:val="18"/>
                <w:lang w:val="pt-PT"/>
              </w:rPr>
            </w:pPr>
            <w:r w:rsidRPr="002A7E9B">
              <w:rPr>
                <w:rFonts w:cs="Arial"/>
                <w:sz w:val="18"/>
                <w:szCs w:val="18"/>
                <w:lang w:val="pt-PT"/>
              </w:rPr>
              <w:t>A intervenção deverá cumprir</w:t>
            </w:r>
            <w:r w:rsidR="00555DFC" w:rsidRPr="002A7E9B">
              <w:rPr>
                <w:rFonts w:cs="Arial"/>
                <w:sz w:val="18"/>
                <w:szCs w:val="18"/>
                <w:lang w:val="pt-PT"/>
              </w:rPr>
              <w:t>, sempre que aplicável,</w:t>
            </w:r>
            <w:r w:rsidRPr="002A7E9B">
              <w:rPr>
                <w:rFonts w:cs="Arial"/>
                <w:sz w:val="18"/>
                <w:szCs w:val="18"/>
                <w:lang w:val="pt-PT"/>
              </w:rPr>
              <w:t xml:space="preserve"> com os requisitos do Decreto-Lei n.º 153/2014 de 20 de outubro</w:t>
            </w:r>
            <w:r w:rsidR="003710EB" w:rsidRPr="002A7E9B">
              <w:rPr>
                <w:rFonts w:cs="Arial"/>
                <w:sz w:val="18"/>
                <w:szCs w:val="18"/>
                <w:lang w:val="pt-PT"/>
              </w:rPr>
              <w:t>: no caso de sistemas de produção de energia elétrica para autoconsumo, só são admitidas como elegíveis Unidades de Produção de Autoconsumo (UPAC) tal como definido no normativo legal aplicável. Estas unidades devem ser dimensionadas de forma a garantir a otimização da aproximação da energia elétrica produzida com</w:t>
            </w:r>
            <w:r w:rsidR="003710EB" w:rsidRPr="002A7E9B">
              <w:rPr>
                <w:sz w:val="18"/>
                <w:lang w:val="pt-PT"/>
              </w:rPr>
              <w:t xml:space="preserve"> </w:t>
            </w:r>
            <w:r w:rsidR="003710EB" w:rsidRPr="002A7E9B">
              <w:rPr>
                <w:rFonts w:cs="Arial"/>
                <w:sz w:val="18"/>
                <w:szCs w:val="18"/>
                <w:lang w:val="pt-PT"/>
              </w:rPr>
              <w:t>a quantidade de energia elétrica consumida na instalação.</w:t>
            </w:r>
          </w:p>
        </w:tc>
        <w:tc>
          <w:tcPr>
            <w:tcW w:w="8788" w:type="dxa"/>
            <w:tcBorders>
              <w:top w:val="single" w:sz="12" w:space="0" w:color="auto"/>
              <w:right w:val="single" w:sz="12" w:space="0" w:color="auto"/>
            </w:tcBorders>
            <w:vAlign w:val="center"/>
          </w:tcPr>
          <w:p w:rsidR="00EC732D" w:rsidRPr="002A7E9B" w:rsidRDefault="00EC732D"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 xml:space="preserve">Aquisição e instalação de unidades de produção </w:t>
            </w:r>
            <w:r w:rsidR="009B6954" w:rsidRPr="002A7E9B">
              <w:rPr>
                <w:rFonts w:ascii="Arial" w:hAnsi="Arial" w:cs="Arial"/>
                <w:sz w:val="18"/>
                <w:szCs w:val="18"/>
                <w:lang w:val="pt-PT"/>
              </w:rPr>
              <w:t xml:space="preserve">de energia elétrica </w:t>
            </w:r>
            <w:r w:rsidRPr="002A7E9B">
              <w:rPr>
                <w:rFonts w:ascii="Arial" w:hAnsi="Arial" w:cs="Arial"/>
                <w:sz w:val="18"/>
                <w:szCs w:val="18"/>
                <w:lang w:val="pt-PT"/>
              </w:rPr>
              <w:t>para autoconsumo baseadas em tecnologias de produção renováveis, a</w:t>
            </w:r>
            <w:r w:rsidR="00CF04A0" w:rsidRPr="002A7E9B">
              <w:rPr>
                <w:rFonts w:ascii="Arial" w:hAnsi="Arial" w:cs="Arial"/>
                <w:sz w:val="18"/>
                <w:szCs w:val="18"/>
                <w:lang w:val="pt-PT"/>
              </w:rPr>
              <w:t xml:space="preserve"> instalar na cobertura, fachada</w:t>
            </w:r>
            <w:r w:rsidR="003710EB" w:rsidRPr="002A7E9B">
              <w:rPr>
                <w:rFonts w:ascii="Arial" w:hAnsi="Arial" w:cs="Arial"/>
                <w:sz w:val="18"/>
                <w:szCs w:val="18"/>
                <w:lang w:val="pt-PT"/>
              </w:rPr>
              <w:t xml:space="preserve"> ou logradouro do edifício</w:t>
            </w:r>
            <w:r w:rsidRPr="002A7E9B">
              <w:rPr>
                <w:rFonts w:ascii="Arial" w:hAnsi="Arial" w:cs="Arial"/>
                <w:sz w:val="18"/>
                <w:szCs w:val="18"/>
                <w:lang w:val="pt-PT"/>
              </w:rPr>
              <w:t>.</w:t>
            </w:r>
          </w:p>
          <w:p w:rsidR="00551F85" w:rsidRPr="002A7E9B" w:rsidRDefault="00EC732D" w:rsidP="003F7A27">
            <w:pPr>
              <w:spacing w:before="100" w:after="100"/>
              <w:ind w:left="0"/>
              <w:rPr>
                <w:rFonts w:cs="Arial"/>
                <w:b/>
                <w:sz w:val="18"/>
                <w:szCs w:val="18"/>
                <w:lang w:val="pt-PT"/>
              </w:rPr>
            </w:pPr>
            <w:r w:rsidRPr="002A7E9B">
              <w:rPr>
                <w:rFonts w:cs="Arial"/>
                <w:b/>
                <w:sz w:val="18"/>
                <w:szCs w:val="18"/>
                <w:lang w:val="pt-PT"/>
              </w:rPr>
              <w:t>Exemplos:</w:t>
            </w:r>
          </w:p>
          <w:p w:rsidR="00EC732D" w:rsidRPr="002A7E9B" w:rsidRDefault="009B6954" w:rsidP="003F7A27">
            <w:pPr>
              <w:spacing w:before="100" w:after="100"/>
              <w:ind w:left="0"/>
              <w:rPr>
                <w:rFonts w:cs="Arial"/>
                <w:sz w:val="18"/>
                <w:szCs w:val="18"/>
                <w:lang w:val="pt-PT"/>
              </w:rPr>
            </w:pPr>
            <w:r w:rsidRPr="002A7E9B">
              <w:rPr>
                <w:rFonts w:cs="Arial"/>
                <w:sz w:val="18"/>
                <w:szCs w:val="18"/>
                <w:lang w:val="pt-PT"/>
              </w:rPr>
              <w:t>A</w:t>
            </w:r>
            <w:r w:rsidR="00EC732D" w:rsidRPr="002A7E9B">
              <w:rPr>
                <w:rFonts w:cs="Arial"/>
                <w:sz w:val="18"/>
                <w:szCs w:val="18"/>
                <w:lang w:val="pt-PT"/>
              </w:rPr>
              <w:t xml:space="preserve">erogeradores, </w:t>
            </w:r>
            <w:r w:rsidRPr="002A7E9B">
              <w:rPr>
                <w:rFonts w:cs="Arial"/>
                <w:sz w:val="18"/>
                <w:szCs w:val="18"/>
                <w:lang w:val="pt-PT"/>
              </w:rPr>
              <w:t xml:space="preserve">sistemas fotovoltaicos </w:t>
            </w:r>
            <w:r w:rsidR="00EC732D" w:rsidRPr="002A7E9B">
              <w:rPr>
                <w:rFonts w:cs="Arial"/>
                <w:sz w:val="18"/>
                <w:szCs w:val="18"/>
                <w:lang w:val="pt-PT"/>
              </w:rPr>
              <w:t xml:space="preserve">e </w:t>
            </w:r>
            <w:r w:rsidR="00673C19" w:rsidRPr="002A7E9B">
              <w:rPr>
                <w:rFonts w:cs="Arial"/>
                <w:sz w:val="18"/>
                <w:szCs w:val="18"/>
                <w:lang w:val="pt-PT"/>
              </w:rPr>
              <w:t xml:space="preserve">outros </w:t>
            </w:r>
            <w:r w:rsidR="00EC732D" w:rsidRPr="002A7E9B">
              <w:rPr>
                <w:rFonts w:cs="Arial"/>
                <w:sz w:val="18"/>
                <w:szCs w:val="18"/>
                <w:lang w:val="pt-PT"/>
              </w:rPr>
              <w:t xml:space="preserve">equipamentos de produção de energia </w:t>
            </w:r>
            <w:r w:rsidRPr="002A7E9B">
              <w:rPr>
                <w:rFonts w:cs="Arial"/>
                <w:sz w:val="18"/>
                <w:szCs w:val="18"/>
                <w:lang w:val="pt-PT"/>
              </w:rPr>
              <w:t xml:space="preserve">elétrica </w:t>
            </w:r>
            <w:r w:rsidR="00EC732D" w:rsidRPr="002A7E9B">
              <w:rPr>
                <w:rFonts w:cs="Arial"/>
                <w:sz w:val="18"/>
                <w:szCs w:val="18"/>
                <w:lang w:val="pt-PT"/>
              </w:rPr>
              <w:t>a partir de fontes renováveis.</w:t>
            </w:r>
          </w:p>
        </w:tc>
      </w:tr>
      <w:tr w:rsidR="003F7A27" w:rsidRPr="002A7E9B" w:rsidTr="00A342B8">
        <w:trPr>
          <w:trHeight w:val="974"/>
          <w:jc w:val="center"/>
        </w:trPr>
        <w:tc>
          <w:tcPr>
            <w:tcW w:w="5382" w:type="dxa"/>
            <w:vMerge/>
            <w:tcBorders>
              <w:left w:val="single" w:sz="12" w:space="0" w:color="auto"/>
              <w:bottom w:val="single" w:sz="12" w:space="0" w:color="auto"/>
            </w:tcBorders>
            <w:vAlign w:val="center"/>
          </w:tcPr>
          <w:p w:rsidR="00EC732D" w:rsidRPr="002A7E9B" w:rsidRDefault="00EC732D" w:rsidP="003F7A27">
            <w:pPr>
              <w:spacing w:before="100" w:after="100"/>
              <w:ind w:left="0"/>
              <w:rPr>
                <w:rFonts w:cs="Arial"/>
                <w:sz w:val="18"/>
                <w:szCs w:val="18"/>
                <w:lang w:val="pt-PT"/>
              </w:rPr>
            </w:pPr>
          </w:p>
        </w:tc>
        <w:tc>
          <w:tcPr>
            <w:tcW w:w="8788" w:type="dxa"/>
            <w:tcBorders>
              <w:bottom w:val="single" w:sz="12" w:space="0" w:color="auto"/>
              <w:right w:val="single" w:sz="12" w:space="0" w:color="auto"/>
            </w:tcBorders>
            <w:vAlign w:val="center"/>
          </w:tcPr>
          <w:p w:rsidR="00EC732D" w:rsidRPr="002A7E9B" w:rsidRDefault="00EC732D" w:rsidP="003F7A27">
            <w:pPr>
              <w:spacing w:before="100" w:after="100"/>
              <w:ind w:left="0"/>
              <w:rPr>
                <w:rFonts w:cs="Arial"/>
                <w:sz w:val="18"/>
                <w:szCs w:val="18"/>
                <w:lang w:val="pt-PT"/>
              </w:rPr>
            </w:pPr>
            <w:r w:rsidRPr="002A7E9B">
              <w:rPr>
                <w:rFonts w:cs="Arial"/>
                <w:b/>
                <w:sz w:val="18"/>
                <w:szCs w:val="18"/>
                <w:lang w:val="pt-PT"/>
              </w:rPr>
              <w:t xml:space="preserve">Custos Padrão: </w:t>
            </w:r>
            <w:r w:rsidR="009B6954" w:rsidRPr="002A7E9B">
              <w:rPr>
                <w:rFonts w:cs="Arial"/>
                <w:sz w:val="18"/>
                <w:szCs w:val="18"/>
                <w:lang w:val="pt-PT"/>
              </w:rPr>
              <w:t>Não</w:t>
            </w:r>
            <w:r w:rsidR="00DB74A4" w:rsidRPr="002A7E9B">
              <w:rPr>
                <w:rFonts w:cs="Arial"/>
                <w:sz w:val="18"/>
                <w:szCs w:val="18"/>
                <w:lang w:val="pt-PT"/>
              </w:rPr>
              <w:t>.</w:t>
            </w:r>
          </w:p>
        </w:tc>
      </w:tr>
    </w:tbl>
    <w:p w:rsidR="003F7A27" w:rsidRDefault="003F7A27" w:rsidP="003F7A27">
      <w:pPr>
        <w:spacing w:before="100" w:after="100"/>
        <w:ind w:left="0"/>
        <w:rPr>
          <w:sz w:val="18"/>
        </w:rPr>
      </w:pPr>
    </w:p>
    <w:p w:rsidR="003F7A27" w:rsidRDefault="003F7A27">
      <w:pPr>
        <w:spacing w:after="160" w:line="259" w:lineRule="auto"/>
        <w:ind w:left="0"/>
        <w:rPr>
          <w:sz w:val="18"/>
        </w:rPr>
      </w:pPr>
      <w:r>
        <w:rPr>
          <w:sz w:val="18"/>
        </w:rPr>
        <w:br w:type="page"/>
      </w:r>
    </w:p>
    <w:p w:rsidR="00B35B93" w:rsidRPr="002A7E9B" w:rsidRDefault="00B35B93" w:rsidP="003F7A27">
      <w:pPr>
        <w:spacing w:before="100" w:after="100"/>
        <w:ind w:left="0"/>
        <w:rPr>
          <w:sz w:val="18"/>
        </w:rPr>
      </w:pPr>
    </w:p>
    <w:tbl>
      <w:tblPr>
        <w:tblStyle w:val="Tabelacomgrelha2"/>
        <w:tblW w:w="14170" w:type="dxa"/>
        <w:jc w:val="center"/>
        <w:tblLayout w:type="fixed"/>
        <w:tblLook w:val="04A0" w:firstRow="1" w:lastRow="0" w:firstColumn="1" w:lastColumn="0" w:noHBand="0" w:noVBand="1"/>
      </w:tblPr>
      <w:tblGrid>
        <w:gridCol w:w="5382"/>
        <w:gridCol w:w="8788"/>
      </w:tblGrid>
      <w:tr w:rsidR="002A7E9B" w:rsidRPr="002A7E9B" w:rsidTr="00A337BD">
        <w:trPr>
          <w:trHeight w:val="20"/>
          <w:jc w:val="center"/>
        </w:trPr>
        <w:tc>
          <w:tcPr>
            <w:tcW w:w="5382" w:type="dxa"/>
            <w:tcBorders>
              <w:top w:val="single" w:sz="12" w:space="0" w:color="auto"/>
              <w:lef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Requisitos das medidas</w:t>
            </w:r>
          </w:p>
        </w:tc>
        <w:tc>
          <w:tcPr>
            <w:tcW w:w="8788" w:type="dxa"/>
            <w:tcBorders>
              <w:top w:val="single" w:sz="12" w:space="0" w:color="auto"/>
              <w:right w:val="single" w:sz="12" w:space="0" w:color="auto"/>
            </w:tcBorders>
            <w:shd w:val="clear" w:color="auto" w:fill="D9E2F3" w:themeFill="accent5" w:themeFillTint="33"/>
            <w:vAlign w:val="center"/>
          </w:tcPr>
          <w:p w:rsidR="00323A05" w:rsidRPr="002A7E9B" w:rsidRDefault="00323A05" w:rsidP="003F7A27">
            <w:pPr>
              <w:spacing w:before="100" w:after="100"/>
              <w:ind w:left="0"/>
              <w:jc w:val="center"/>
              <w:rPr>
                <w:rFonts w:eastAsia="Calibri" w:cs="Arial"/>
                <w:b/>
                <w:spacing w:val="0"/>
                <w:sz w:val="18"/>
                <w:szCs w:val="18"/>
                <w:lang w:val="pt-PT"/>
              </w:rPr>
            </w:pPr>
            <w:r w:rsidRPr="002A7E9B">
              <w:rPr>
                <w:rFonts w:eastAsia="Calibri" w:cs="Arial"/>
                <w:b/>
                <w:spacing w:val="0"/>
                <w:sz w:val="18"/>
                <w:szCs w:val="18"/>
                <w:lang w:val="pt-PT"/>
              </w:rPr>
              <w:t>Despesas Elegíveis</w:t>
            </w:r>
          </w:p>
        </w:tc>
      </w:tr>
      <w:tr w:rsidR="002A7E9B" w:rsidRPr="002A7E9B" w:rsidTr="00F37EEB">
        <w:trPr>
          <w:trHeight w:val="718"/>
          <w:jc w:val="center"/>
        </w:trPr>
        <w:tc>
          <w:tcPr>
            <w:tcW w:w="1417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rsidR="00EC732D" w:rsidRPr="002A7E9B" w:rsidRDefault="00765F26" w:rsidP="003F7A27">
            <w:pPr>
              <w:spacing w:before="100" w:after="100"/>
              <w:ind w:left="0"/>
              <w:rPr>
                <w:rFonts w:cs="Arial"/>
                <w:b/>
                <w:sz w:val="18"/>
                <w:szCs w:val="18"/>
                <w:lang w:val="pt-PT"/>
              </w:rPr>
            </w:pPr>
            <w:proofErr w:type="spellStart"/>
            <w:r>
              <w:rPr>
                <w:rFonts w:cs="Arial"/>
                <w:b/>
                <w:sz w:val="18"/>
                <w:szCs w:val="18"/>
                <w:lang w:val="pt-PT"/>
              </w:rPr>
              <w:t>Art</w:t>
            </w:r>
            <w:proofErr w:type="spellEnd"/>
            <w:r>
              <w:rPr>
                <w:rFonts w:cs="Arial"/>
                <w:b/>
                <w:sz w:val="18"/>
                <w:szCs w:val="18"/>
                <w:lang w:val="pt-PT"/>
              </w:rPr>
              <w:t xml:space="preserve">º 22 RESEUR: </w:t>
            </w:r>
            <w:r w:rsidR="004F762C" w:rsidRPr="004F762C">
              <w:rPr>
                <w:rFonts w:cs="Arial"/>
                <w:b/>
                <w:sz w:val="18"/>
                <w:szCs w:val="18"/>
                <w:lang w:val="pt-PT"/>
              </w:rPr>
              <w:t xml:space="preserve">Auditorias energéticas </w:t>
            </w:r>
            <w:proofErr w:type="spellStart"/>
            <w:r w:rsidR="004F762C" w:rsidRPr="004F762C">
              <w:rPr>
                <w:rFonts w:cs="Arial"/>
                <w:b/>
                <w:sz w:val="18"/>
                <w:szCs w:val="18"/>
                <w:lang w:val="pt-PT"/>
              </w:rPr>
              <w:t>ex</w:t>
            </w:r>
            <w:proofErr w:type="spellEnd"/>
            <w:r w:rsidR="004F762C" w:rsidRPr="004F762C">
              <w:rPr>
                <w:rFonts w:cs="Arial"/>
                <w:b/>
                <w:sz w:val="18"/>
                <w:szCs w:val="18"/>
                <w:lang w:val="pt-PT"/>
              </w:rPr>
              <w:t xml:space="preserve"> ante e trabalhos necessários à realização do investimento, desde que não sejam obrigatórios por lei, bem como a auditoria energética </w:t>
            </w:r>
            <w:proofErr w:type="spellStart"/>
            <w:r w:rsidR="004F762C" w:rsidRPr="004F762C">
              <w:rPr>
                <w:rFonts w:cs="Arial"/>
                <w:b/>
                <w:sz w:val="18"/>
                <w:szCs w:val="18"/>
                <w:lang w:val="pt-PT"/>
              </w:rPr>
              <w:t>ex</w:t>
            </w:r>
            <w:proofErr w:type="spellEnd"/>
            <w:r w:rsidR="004F762C" w:rsidRPr="004F762C">
              <w:rPr>
                <w:rFonts w:cs="Arial"/>
                <w:b/>
                <w:sz w:val="18"/>
                <w:szCs w:val="18"/>
                <w:lang w:val="pt-PT"/>
              </w:rPr>
              <w:t xml:space="preserve"> </w:t>
            </w:r>
            <w:proofErr w:type="spellStart"/>
            <w:r w:rsidR="004F762C" w:rsidRPr="004F762C">
              <w:rPr>
                <w:rFonts w:cs="Arial"/>
                <w:b/>
                <w:sz w:val="18"/>
                <w:szCs w:val="18"/>
                <w:lang w:val="pt-PT"/>
              </w:rPr>
              <w:t>post</w:t>
            </w:r>
            <w:proofErr w:type="spellEnd"/>
            <w:r w:rsidR="004F762C" w:rsidRPr="004F762C">
              <w:rPr>
                <w:rFonts w:cs="Arial"/>
                <w:b/>
                <w:sz w:val="18"/>
                <w:szCs w:val="18"/>
                <w:lang w:val="pt-PT"/>
              </w:rPr>
              <w:t xml:space="preserve"> que permita a avaliação e o acompanhamento do desempenho e da eficiência energética do investimento</w:t>
            </w:r>
          </w:p>
        </w:tc>
      </w:tr>
      <w:tr w:rsidR="002A7E9B" w:rsidRPr="002A7E9B" w:rsidTr="00A05769">
        <w:trPr>
          <w:trHeight w:val="20"/>
          <w:jc w:val="center"/>
        </w:trPr>
        <w:tc>
          <w:tcPr>
            <w:tcW w:w="5382" w:type="dxa"/>
            <w:vMerge w:val="restart"/>
            <w:tcBorders>
              <w:top w:val="single" w:sz="12" w:space="0" w:color="auto"/>
              <w:left w:val="single" w:sz="12" w:space="0" w:color="auto"/>
            </w:tcBorders>
            <w:vAlign w:val="center"/>
          </w:tcPr>
          <w:p w:rsidR="00A15E3C" w:rsidRPr="002A7E9B" w:rsidRDefault="00765F26" w:rsidP="003F7A27">
            <w:pPr>
              <w:spacing w:before="100" w:after="100"/>
              <w:ind w:left="0"/>
              <w:rPr>
                <w:rFonts w:cs="Arial"/>
                <w:sz w:val="18"/>
                <w:szCs w:val="18"/>
                <w:lang w:val="pt-PT"/>
              </w:rPr>
            </w:pPr>
            <w:proofErr w:type="spellStart"/>
            <w:r>
              <w:rPr>
                <w:rFonts w:cs="Arial"/>
                <w:sz w:val="18"/>
                <w:szCs w:val="18"/>
                <w:lang w:val="pt-PT"/>
              </w:rPr>
              <w:t>Art</w:t>
            </w:r>
            <w:proofErr w:type="spellEnd"/>
            <w:r>
              <w:rPr>
                <w:rFonts w:cs="Arial"/>
                <w:sz w:val="18"/>
                <w:szCs w:val="18"/>
                <w:lang w:val="pt-PT"/>
              </w:rPr>
              <w:t xml:space="preserve">º 22 Nº 3: </w:t>
            </w:r>
            <w:r w:rsidR="00A15E3C" w:rsidRPr="002A7E9B">
              <w:rPr>
                <w:rFonts w:cs="Arial"/>
                <w:sz w:val="18"/>
                <w:szCs w:val="18"/>
                <w:lang w:val="pt-PT"/>
              </w:rPr>
              <w:t>Elaboração e emissão de certificado energético no âmbito do SCE, devidamente acompanhado do Relatório de Auditoria Energética, que caracterize o cenário de base e detalhe as medidas de eficiência energética que serão tidas em conta no âmbito da candidatura.</w:t>
            </w:r>
          </w:p>
          <w:p w:rsidR="00A15E3C" w:rsidRPr="002A7E9B" w:rsidRDefault="00A15E3C" w:rsidP="003F7A27">
            <w:pPr>
              <w:spacing w:before="100" w:after="100"/>
              <w:ind w:left="0"/>
              <w:rPr>
                <w:rFonts w:cs="Arial"/>
                <w:sz w:val="18"/>
                <w:szCs w:val="18"/>
                <w:lang w:val="pt-PT"/>
              </w:rPr>
            </w:pPr>
          </w:p>
          <w:p w:rsidR="00A15E3C" w:rsidRPr="002A7E9B" w:rsidRDefault="00A15E3C" w:rsidP="003F7A27">
            <w:pPr>
              <w:spacing w:before="100" w:after="100"/>
              <w:ind w:left="0"/>
              <w:rPr>
                <w:rFonts w:cs="Arial"/>
                <w:b/>
                <w:sz w:val="18"/>
                <w:szCs w:val="18"/>
                <w:lang w:val="pt-PT"/>
              </w:rPr>
            </w:pPr>
            <w:r w:rsidRPr="002A7E9B">
              <w:rPr>
                <w:rFonts w:cs="Arial"/>
                <w:b/>
                <w:sz w:val="18"/>
                <w:szCs w:val="18"/>
                <w:lang w:val="pt-PT"/>
              </w:rPr>
              <w:t>Requisitos:</w:t>
            </w:r>
          </w:p>
          <w:p w:rsidR="00A15E3C" w:rsidRPr="002A7E9B" w:rsidRDefault="00A15E3C" w:rsidP="003F7A27">
            <w:pPr>
              <w:spacing w:before="100" w:after="100"/>
              <w:ind w:left="0"/>
              <w:rPr>
                <w:rFonts w:cs="Arial"/>
                <w:sz w:val="18"/>
                <w:szCs w:val="18"/>
                <w:lang w:val="pt-PT"/>
              </w:rPr>
            </w:pPr>
            <w:r w:rsidRPr="002A7E9B">
              <w:rPr>
                <w:rFonts w:cs="Arial"/>
                <w:sz w:val="18"/>
                <w:szCs w:val="18"/>
                <w:lang w:val="pt-PT"/>
              </w:rPr>
              <w:t>No âmbito do Sistema de Certificação de Edifícios, Decreto-Lei n.º 118/2013, de 20 de agosto, na sua atual redação.</w:t>
            </w:r>
          </w:p>
        </w:tc>
        <w:tc>
          <w:tcPr>
            <w:tcW w:w="8788" w:type="dxa"/>
            <w:tcBorders>
              <w:top w:val="single" w:sz="12" w:space="0" w:color="auto"/>
              <w:bottom w:val="single" w:sz="4" w:space="0" w:color="auto"/>
              <w:right w:val="single" w:sz="12" w:space="0" w:color="auto"/>
            </w:tcBorders>
            <w:vAlign w:val="center"/>
          </w:tcPr>
          <w:p w:rsidR="00A15E3C" w:rsidRPr="002A7E9B" w:rsidRDefault="00A15E3C" w:rsidP="003F7A27">
            <w:pPr>
              <w:spacing w:before="100" w:after="100"/>
              <w:ind w:left="0"/>
              <w:rPr>
                <w:rFonts w:cs="Arial"/>
                <w:b/>
                <w:spacing w:val="0"/>
                <w:sz w:val="18"/>
                <w:szCs w:val="18"/>
                <w:lang w:val="pt-PT" w:eastAsia="pt-PT"/>
              </w:rPr>
            </w:pPr>
            <w:r w:rsidRPr="002A7E9B">
              <w:rPr>
                <w:rFonts w:cs="Arial"/>
                <w:b/>
                <w:sz w:val="18"/>
                <w:szCs w:val="18"/>
                <w:lang w:val="pt-PT"/>
              </w:rPr>
              <w:t xml:space="preserve">Relativamente à avaliação </w:t>
            </w:r>
            <w:r w:rsidRPr="002A7E9B">
              <w:rPr>
                <w:rFonts w:cs="Arial"/>
                <w:b/>
                <w:i/>
                <w:sz w:val="18"/>
                <w:szCs w:val="18"/>
                <w:lang w:val="pt-PT"/>
              </w:rPr>
              <w:t>“</w:t>
            </w:r>
            <w:proofErr w:type="spellStart"/>
            <w:r w:rsidRPr="002A7E9B">
              <w:rPr>
                <w:rFonts w:cs="Arial"/>
                <w:b/>
                <w:i/>
                <w:sz w:val="18"/>
                <w:szCs w:val="18"/>
                <w:lang w:val="pt-PT"/>
              </w:rPr>
              <w:t>ex-ante</w:t>
            </w:r>
            <w:proofErr w:type="spellEnd"/>
            <w:r w:rsidRPr="002A7E9B">
              <w:rPr>
                <w:rFonts w:cs="Arial"/>
                <w:b/>
                <w:i/>
                <w:sz w:val="18"/>
                <w:szCs w:val="18"/>
                <w:lang w:val="pt-PT"/>
              </w:rPr>
              <w:t>”</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bottom w:val="nil"/>
              <w:right w:val="single" w:sz="12" w:space="0" w:color="auto"/>
            </w:tcBorders>
            <w:vAlign w:val="center"/>
          </w:tcPr>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Despesas com auditorias energéticas para efeitos de atualização do certificado energético</w:t>
            </w:r>
            <w:r w:rsidR="00B63B2D" w:rsidRPr="002A7E9B">
              <w:rPr>
                <w:rFonts w:ascii="Arial" w:hAnsi="Arial" w:cs="Arial"/>
                <w:sz w:val="18"/>
                <w:szCs w:val="18"/>
                <w:lang w:val="pt-PT"/>
              </w:rPr>
              <w:t>;</w:t>
            </w:r>
            <w:r w:rsidRPr="002A7E9B">
              <w:rPr>
                <w:rFonts w:ascii="Arial" w:hAnsi="Arial" w:cs="Arial"/>
                <w:sz w:val="18"/>
                <w:szCs w:val="18"/>
                <w:lang w:val="pt-PT"/>
              </w:rPr>
              <w:t xml:space="preserve"> </w:t>
            </w:r>
          </w:p>
          <w:p w:rsidR="00A15E3C" w:rsidRPr="002A7E9B" w:rsidRDefault="00A15E3C" w:rsidP="003F7A27">
            <w:pPr>
              <w:pStyle w:val="PargrafodaLista"/>
              <w:numPr>
                <w:ilvl w:val="0"/>
                <w:numId w:val="7"/>
              </w:numPr>
              <w:spacing w:before="100" w:after="100" w:line="240" w:lineRule="auto"/>
              <w:ind w:left="714" w:hanging="357"/>
              <w:rPr>
                <w:rFonts w:ascii="Arial" w:hAnsi="Arial" w:cs="Arial"/>
                <w:b/>
                <w:sz w:val="18"/>
                <w:szCs w:val="18"/>
                <w:lang w:val="pt-PT" w:eastAsia="pt-PT"/>
              </w:rPr>
            </w:pPr>
            <w:r w:rsidRPr="002A7E9B">
              <w:rPr>
                <w:rFonts w:ascii="Arial" w:hAnsi="Arial" w:cs="Arial"/>
                <w:sz w:val="18"/>
                <w:szCs w:val="18"/>
                <w:lang w:val="pt-PT"/>
              </w:rPr>
              <w:t>Despesas com o processo de certificação energética nos casos em que não constitua uma obrigatoriedade legal para os edifícios a intervencionar;</w:t>
            </w:r>
          </w:p>
          <w:p w:rsidR="00A15E3C" w:rsidRPr="002A7E9B" w:rsidRDefault="00A15E3C"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Mantendo obrigatoriamente o cumprimento de um dos pontos anteriores, poder</w:t>
            </w:r>
            <w:r w:rsidR="00B63B2D" w:rsidRPr="002A7E9B">
              <w:rPr>
                <w:rFonts w:ascii="Arial" w:hAnsi="Arial" w:cs="Arial"/>
                <w:sz w:val="18"/>
                <w:szCs w:val="18"/>
                <w:lang w:val="pt-PT"/>
              </w:rPr>
              <w:t xml:space="preserve">á </w:t>
            </w:r>
            <w:r w:rsidRPr="002A7E9B">
              <w:rPr>
                <w:rFonts w:ascii="Arial" w:hAnsi="Arial" w:cs="Arial"/>
                <w:sz w:val="18"/>
                <w:szCs w:val="18"/>
                <w:lang w:val="pt-PT"/>
              </w:rPr>
              <w:t>ser adicion</w:t>
            </w:r>
            <w:r w:rsidR="00B63B2D" w:rsidRPr="002A7E9B">
              <w:rPr>
                <w:rFonts w:ascii="Arial" w:hAnsi="Arial" w:cs="Arial"/>
                <w:sz w:val="18"/>
                <w:szCs w:val="18"/>
                <w:lang w:val="pt-PT"/>
              </w:rPr>
              <w:t>almente apresentada a despesa</w:t>
            </w:r>
            <w:r w:rsidRPr="002A7E9B">
              <w:rPr>
                <w:rFonts w:ascii="Arial" w:hAnsi="Arial" w:cs="Arial"/>
                <w:sz w:val="18"/>
                <w:szCs w:val="18"/>
                <w:lang w:val="pt-PT"/>
              </w:rPr>
              <w:t xml:space="preserve"> com a taxa de registo, relativa à emissão do certificado energético, definida na Portaria n.º 349-A/2013, de 29 de</w:t>
            </w:r>
            <w:r w:rsidR="003710EB" w:rsidRPr="002A7E9B">
              <w:rPr>
                <w:rFonts w:ascii="Arial" w:hAnsi="Arial" w:cs="Arial"/>
                <w:sz w:val="18"/>
                <w:szCs w:val="18"/>
                <w:lang w:val="pt-PT"/>
              </w:rPr>
              <w:t xml:space="preserve"> novembro, na sua atual redação;</w:t>
            </w:r>
          </w:p>
          <w:p w:rsidR="003710EB" w:rsidRPr="002A7E9B" w:rsidRDefault="003710EB"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Estudos luminotécnicos.</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nil"/>
              <w:right w:val="single" w:sz="12" w:space="0" w:color="auto"/>
            </w:tcBorders>
            <w:vAlign w:val="center"/>
          </w:tcPr>
          <w:p w:rsidR="00A15E3C" w:rsidRPr="002A7E9B" w:rsidRDefault="00A15E3C" w:rsidP="003F7A27">
            <w:pPr>
              <w:spacing w:before="100" w:after="100"/>
              <w:ind w:left="0"/>
              <w:rPr>
                <w:sz w:val="18"/>
                <w:szCs w:val="18"/>
                <w:lang w:val="pt-PT"/>
              </w:rPr>
            </w:pPr>
            <w:r w:rsidRPr="002A7E9B">
              <w:rPr>
                <w:b/>
                <w:sz w:val="18"/>
                <w:szCs w:val="18"/>
                <w:lang w:val="pt-PT"/>
              </w:rPr>
              <w:t>Exemplos de operações não elegíveis (não exaustivo):</w:t>
            </w:r>
          </w:p>
          <w:p w:rsidR="00A15E3C" w:rsidRPr="002A7E9B" w:rsidRDefault="005A7912" w:rsidP="003F7A27">
            <w:pPr>
              <w:pStyle w:val="PargrafodaLista"/>
              <w:numPr>
                <w:ilvl w:val="0"/>
                <w:numId w:val="7"/>
              </w:numPr>
              <w:spacing w:before="100" w:after="100" w:line="240" w:lineRule="auto"/>
              <w:rPr>
                <w:rFonts w:ascii="Arial" w:hAnsi="Arial" w:cs="Arial"/>
                <w:b/>
                <w:sz w:val="18"/>
                <w:szCs w:val="18"/>
                <w:lang w:val="pt-PT" w:eastAsia="pt-PT"/>
              </w:rPr>
            </w:pPr>
            <w:r w:rsidRPr="002A7E9B">
              <w:rPr>
                <w:rFonts w:ascii="Arial" w:hAnsi="Arial" w:cs="Arial"/>
                <w:sz w:val="18"/>
                <w:szCs w:val="18"/>
                <w:lang w:val="pt-PT"/>
              </w:rPr>
              <w:t>Quaisquer d</w:t>
            </w:r>
            <w:r w:rsidR="00A15E3C" w:rsidRPr="002A7E9B">
              <w:rPr>
                <w:rFonts w:ascii="Arial" w:hAnsi="Arial" w:cs="Arial"/>
                <w:sz w:val="18"/>
                <w:szCs w:val="18"/>
                <w:lang w:val="pt-PT"/>
              </w:rPr>
              <w:t>espesas com o processo de certificação energética em que tal constitua uma obrigatoriedade legal para os edifícios a intervencionar.</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rPr>
                <w:rFonts w:cs="Arial"/>
                <w:sz w:val="18"/>
                <w:szCs w:val="18"/>
                <w:lang w:val="pt-PT"/>
              </w:rPr>
            </w:pPr>
          </w:p>
        </w:tc>
        <w:tc>
          <w:tcPr>
            <w:tcW w:w="8788" w:type="dxa"/>
            <w:tcBorders>
              <w:bottom w:val="single" w:sz="4" w:space="0" w:color="auto"/>
              <w:right w:val="single" w:sz="12" w:space="0" w:color="auto"/>
            </w:tcBorders>
            <w:vAlign w:val="center"/>
          </w:tcPr>
          <w:p w:rsidR="00A15E3C" w:rsidRPr="002A7E9B" w:rsidRDefault="00A15E3C" w:rsidP="003F7A27">
            <w:pPr>
              <w:spacing w:before="100" w:after="100"/>
              <w:ind w:left="0"/>
              <w:rPr>
                <w:rFonts w:cs="Arial"/>
                <w:b/>
                <w:spacing w:val="0"/>
                <w:sz w:val="18"/>
                <w:szCs w:val="18"/>
                <w:lang w:val="pt-PT" w:eastAsia="pt-PT"/>
              </w:rPr>
            </w:pPr>
            <w:r w:rsidRPr="002A7E9B">
              <w:rPr>
                <w:rFonts w:cs="Arial"/>
                <w:b/>
                <w:sz w:val="18"/>
                <w:szCs w:val="18"/>
                <w:lang w:val="pt-PT"/>
              </w:rPr>
              <w:t xml:space="preserve">Relativamente à avaliação </w:t>
            </w:r>
            <w:r w:rsidRPr="002A7E9B">
              <w:rPr>
                <w:rFonts w:cs="Arial"/>
                <w:b/>
                <w:i/>
                <w:sz w:val="18"/>
                <w:szCs w:val="18"/>
                <w:lang w:val="pt-PT"/>
              </w:rPr>
              <w:t>“</w:t>
            </w:r>
            <w:proofErr w:type="spellStart"/>
            <w:r w:rsidRPr="002A7E9B">
              <w:rPr>
                <w:rFonts w:cs="Arial"/>
                <w:b/>
                <w:i/>
                <w:sz w:val="18"/>
                <w:szCs w:val="18"/>
                <w:lang w:val="pt-PT"/>
              </w:rPr>
              <w:t>ex-post</w:t>
            </w:r>
            <w:proofErr w:type="spellEnd"/>
            <w:r w:rsidRPr="002A7E9B">
              <w:rPr>
                <w:rFonts w:cs="Arial"/>
                <w:b/>
                <w:i/>
                <w:sz w:val="18"/>
                <w:szCs w:val="18"/>
                <w:lang w:val="pt-PT"/>
              </w:rPr>
              <w:t>”</w:t>
            </w:r>
          </w:p>
        </w:tc>
      </w:tr>
      <w:tr w:rsidR="002A7E9B" w:rsidRPr="002A7E9B" w:rsidTr="00A05769">
        <w:trPr>
          <w:trHeight w:val="20"/>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bottom w:val="nil"/>
              <w:right w:val="single" w:sz="12" w:space="0" w:color="auto"/>
            </w:tcBorders>
            <w:vAlign w:val="center"/>
          </w:tcPr>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Despesas com auditorias energéticas para efeitos de emissão do certificado energético para a situação após a conclusão da operação;</w:t>
            </w:r>
          </w:p>
          <w:p w:rsidR="00A15E3C" w:rsidRPr="002A7E9B" w:rsidRDefault="00A15E3C" w:rsidP="003F7A27">
            <w:pPr>
              <w:pStyle w:val="PargrafodaLista"/>
              <w:numPr>
                <w:ilvl w:val="0"/>
                <w:numId w:val="7"/>
              </w:numPr>
              <w:spacing w:before="100" w:after="100" w:line="240" w:lineRule="auto"/>
              <w:rPr>
                <w:rFonts w:ascii="Arial" w:hAnsi="Arial" w:cs="Arial"/>
                <w:sz w:val="18"/>
                <w:szCs w:val="18"/>
                <w:lang w:val="pt-PT"/>
              </w:rPr>
            </w:pPr>
            <w:r w:rsidRPr="002A7E9B">
              <w:rPr>
                <w:rFonts w:ascii="Arial" w:hAnsi="Arial" w:cs="Arial"/>
                <w:sz w:val="18"/>
                <w:szCs w:val="18"/>
                <w:lang w:val="pt-PT"/>
              </w:rPr>
              <w:t>D</w:t>
            </w:r>
            <w:r w:rsidR="00B63B2D" w:rsidRPr="002A7E9B">
              <w:rPr>
                <w:rFonts w:ascii="Arial" w:hAnsi="Arial" w:cs="Arial"/>
                <w:sz w:val="18"/>
                <w:szCs w:val="18"/>
                <w:lang w:val="pt-PT"/>
              </w:rPr>
              <w:t>espesa</w:t>
            </w:r>
            <w:r w:rsidRPr="002A7E9B">
              <w:rPr>
                <w:rFonts w:ascii="Arial" w:hAnsi="Arial" w:cs="Arial"/>
                <w:sz w:val="18"/>
                <w:szCs w:val="18"/>
                <w:lang w:val="pt-PT"/>
              </w:rPr>
              <w:t xml:space="preserve"> com a taxa de registo, relativa à emissão do certificado energético, definida na Portaria n.º 349-A/2013, de 29 de novembro, na sua atual redação.</w:t>
            </w:r>
          </w:p>
        </w:tc>
      </w:tr>
      <w:tr w:rsidR="002A7E9B" w:rsidRPr="002A7E9B" w:rsidTr="00A15E3C">
        <w:trPr>
          <w:trHeight w:val="591"/>
          <w:jc w:val="center"/>
        </w:trPr>
        <w:tc>
          <w:tcPr>
            <w:tcW w:w="5382" w:type="dxa"/>
            <w:vMerge/>
            <w:tcBorders>
              <w:left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nil"/>
              <w:bottom w:val="single" w:sz="4" w:space="0" w:color="auto"/>
              <w:right w:val="single" w:sz="12" w:space="0" w:color="auto"/>
            </w:tcBorders>
            <w:vAlign w:val="center"/>
          </w:tcPr>
          <w:p w:rsidR="00A15E3C" w:rsidRPr="002A7E9B" w:rsidRDefault="00A15E3C" w:rsidP="003F7A27">
            <w:pPr>
              <w:spacing w:before="100" w:after="100"/>
              <w:ind w:left="0"/>
              <w:rPr>
                <w:b/>
                <w:sz w:val="18"/>
                <w:szCs w:val="18"/>
                <w:lang w:val="pt-PT"/>
              </w:rPr>
            </w:pPr>
            <w:r w:rsidRPr="002A7E9B">
              <w:rPr>
                <w:b/>
                <w:sz w:val="18"/>
                <w:szCs w:val="18"/>
                <w:lang w:val="pt-PT"/>
              </w:rPr>
              <w:t>Exemplos de operações não elegíveis (não exaustivo):</w:t>
            </w:r>
          </w:p>
          <w:p w:rsidR="00A15E3C" w:rsidRPr="002A7E9B" w:rsidRDefault="005A7912" w:rsidP="003F7A27">
            <w:pPr>
              <w:pStyle w:val="PargrafodaLista"/>
              <w:numPr>
                <w:ilvl w:val="0"/>
                <w:numId w:val="7"/>
              </w:numPr>
              <w:spacing w:before="100" w:after="100" w:line="240" w:lineRule="auto"/>
              <w:rPr>
                <w:rFonts w:ascii="Arial" w:hAnsi="Arial"/>
                <w:sz w:val="18"/>
                <w:szCs w:val="18"/>
                <w:lang w:val="pt-PT"/>
              </w:rPr>
            </w:pPr>
            <w:r w:rsidRPr="002A7E9B">
              <w:rPr>
                <w:rFonts w:ascii="Arial" w:hAnsi="Arial" w:cs="Arial"/>
                <w:sz w:val="18"/>
                <w:szCs w:val="18"/>
                <w:lang w:val="pt-PT"/>
              </w:rPr>
              <w:t>Quaisquer d</w:t>
            </w:r>
            <w:r w:rsidR="00A15E3C" w:rsidRPr="002A7E9B">
              <w:rPr>
                <w:rFonts w:ascii="Arial" w:hAnsi="Arial" w:cs="Arial"/>
                <w:sz w:val="18"/>
                <w:szCs w:val="18"/>
                <w:lang w:val="pt-PT"/>
              </w:rPr>
              <w:t>espesas com a atualização do certificado energético em que tal constitua uma obrigatoriedade legal para os edifícios a intervencionar (grande intervenção).</w:t>
            </w:r>
          </w:p>
        </w:tc>
      </w:tr>
      <w:tr w:rsidR="002A7E9B" w:rsidRPr="002A7E9B" w:rsidTr="00A15E3C">
        <w:trPr>
          <w:trHeight w:val="1132"/>
          <w:jc w:val="center"/>
        </w:trPr>
        <w:tc>
          <w:tcPr>
            <w:tcW w:w="5382" w:type="dxa"/>
            <w:vMerge/>
            <w:tcBorders>
              <w:left w:val="single" w:sz="12" w:space="0" w:color="auto"/>
              <w:bottom w:val="single" w:sz="12" w:space="0" w:color="auto"/>
            </w:tcBorders>
            <w:vAlign w:val="center"/>
          </w:tcPr>
          <w:p w:rsidR="00A15E3C" w:rsidRPr="002A7E9B" w:rsidRDefault="00A15E3C" w:rsidP="003F7A27">
            <w:pPr>
              <w:spacing w:before="100" w:after="100"/>
              <w:ind w:left="0"/>
              <w:jc w:val="center"/>
              <w:rPr>
                <w:rFonts w:cs="Arial"/>
                <w:b/>
                <w:spacing w:val="0"/>
                <w:sz w:val="18"/>
                <w:szCs w:val="18"/>
                <w:lang w:val="pt-PT" w:eastAsia="pt-PT"/>
              </w:rPr>
            </w:pPr>
          </w:p>
        </w:tc>
        <w:tc>
          <w:tcPr>
            <w:tcW w:w="8788" w:type="dxa"/>
            <w:tcBorders>
              <w:top w:val="single" w:sz="4" w:space="0" w:color="auto"/>
              <w:bottom w:val="single" w:sz="12" w:space="0" w:color="auto"/>
              <w:right w:val="single" w:sz="12" w:space="0" w:color="auto"/>
            </w:tcBorders>
            <w:vAlign w:val="center"/>
          </w:tcPr>
          <w:p w:rsidR="00A15E3C" w:rsidRPr="002A7E9B" w:rsidRDefault="00A15E3C" w:rsidP="004B49FD">
            <w:pPr>
              <w:spacing w:before="100" w:after="100"/>
              <w:ind w:left="0"/>
              <w:rPr>
                <w:b/>
                <w:sz w:val="18"/>
                <w:szCs w:val="18"/>
              </w:rPr>
            </w:pPr>
            <w:r w:rsidRPr="002A7E9B">
              <w:rPr>
                <w:b/>
                <w:sz w:val="18"/>
                <w:szCs w:val="18"/>
                <w:lang w:val="pt-PT"/>
              </w:rPr>
              <w:t>Custos Padrão:</w:t>
            </w:r>
            <w:r w:rsidR="00CB69BB" w:rsidRPr="002A7E9B" w:rsidDel="00CB69BB">
              <w:rPr>
                <w:b/>
                <w:sz w:val="18"/>
                <w:szCs w:val="18"/>
                <w:lang w:val="pt-PT"/>
              </w:rPr>
              <w:t xml:space="preserve"> </w:t>
            </w:r>
            <w:r w:rsidR="004B49FD">
              <w:rPr>
                <w:sz w:val="18"/>
                <w:szCs w:val="18"/>
                <w:lang w:val="pt-PT"/>
              </w:rPr>
              <w:t>Não</w:t>
            </w:r>
          </w:p>
        </w:tc>
      </w:tr>
    </w:tbl>
    <w:p w:rsidR="002A7E9B" w:rsidRPr="002A7E9B" w:rsidRDefault="002A7E9B" w:rsidP="003F7A27">
      <w:pPr>
        <w:spacing w:before="100" w:after="100"/>
        <w:ind w:left="0"/>
        <w:jc w:val="both"/>
        <w:rPr>
          <w:rFonts w:cs="Arial"/>
          <w:sz w:val="18"/>
          <w:szCs w:val="24"/>
        </w:rPr>
      </w:pPr>
    </w:p>
    <w:sectPr w:rsidR="002A7E9B" w:rsidRPr="002A7E9B" w:rsidSect="00E00705">
      <w:headerReference w:type="default" r:id="rId9"/>
      <w:pgSz w:w="16840" w:h="11907" w:orient="landscape" w:code="9"/>
      <w:pgMar w:top="1985" w:right="1134" w:bottom="1276" w:left="1134"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9D1" w:rsidRDefault="005349D1">
      <w:r>
        <w:separator/>
      </w:r>
    </w:p>
  </w:endnote>
  <w:endnote w:type="continuationSeparator" w:id="0">
    <w:p w:rsidR="005349D1" w:rsidRDefault="0053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9D1" w:rsidRDefault="005349D1">
      <w:r>
        <w:separator/>
      </w:r>
    </w:p>
  </w:footnote>
  <w:footnote w:type="continuationSeparator" w:id="0">
    <w:p w:rsidR="005349D1" w:rsidRDefault="00534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65" w:rsidRDefault="003C6965">
    <w:pPr>
      <w:pStyle w:val="Cabealho"/>
    </w:pPr>
    <w:r w:rsidRPr="007F1CF3">
      <w:rPr>
        <w:noProof/>
        <w:lang w:eastAsia="pt-PT"/>
      </w:rPr>
      <w:drawing>
        <wp:inline distT="0" distB="0" distL="0" distR="0" wp14:anchorId="1EC9F92D" wp14:editId="456902C6">
          <wp:extent cx="3328981" cy="468000"/>
          <wp:effectExtent l="19050" t="0" r="4769" b="0"/>
          <wp:docPr id="2" name="Imagem 1" descr="Lisboa2020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boa2020_RGB4.jpg"/>
                  <pic:cNvPicPr/>
                </pic:nvPicPr>
                <pic:blipFill>
                  <a:blip r:embed="rId1"/>
                  <a:srcRect l="2975" t="40375" r="2810" b="40845"/>
                  <a:stretch>
                    <a:fillRect/>
                  </a:stretch>
                </pic:blipFill>
                <pic:spPr>
                  <a:xfrm>
                    <a:off x="0" y="0"/>
                    <a:ext cx="3328981" cy="468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79B"/>
    <w:multiLevelType w:val="multilevel"/>
    <w:tmpl w:val="8D0A62F8"/>
    <w:lvl w:ilvl="0">
      <w:start w:val="1"/>
      <w:numFmt w:val="decimal"/>
      <w:pStyle w:val="Cabealho1"/>
      <w:lvlText w:val="%1."/>
      <w:lvlJc w:val="left"/>
      <w:pPr>
        <w:ind w:left="1555" w:hanging="360"/>
      </w:pPr>
      <w:rPr>
        <w:b/>
        <w:i w:val="0"/>
      </w:rPr>
    </w:lvl>
    <w:lvl w:ilvl="1">
      <w:start w:val="1"/>
      <w:numFmt w:val="decimal"/>
      <w:isLgl/>
      <w:lvlText w:val="%1.%2."/>
      <w:lvlJc w:val="left"/>
      <w:pPr>
        <w:ind w:left="1630" w:hanging="435"/>
      </w:pPr>
      <w:rPr>
        <w:rFonts w:ascii="Arial" w:hAnsi="Arial" w:cs="Arial" w:hint="default"/>
        <w:b w:val="0"/>
        <w:i w:val="0"/>
        <w:sz w:val="20"/>
      </w:rPr>
    </w:lvl>
    <w:lvl w:ilvl="2">
      <w:start w:val="1"/>
      <w:numFmt w:val="decimal"/>
      <w:isLgl/>
      <w:lvlText w:val="%1.%2.%3."/>
      <w:lvlJc w:val="left"/>
      <w:pPr>
        <w:ind w:left="1915" w:hanging="720"/>
      </w:pPr>
      <w:rPr>
        <w:rFonts w:hint="default"/>
      </w:rPr>
    </w:lvl>
    <w:lvl w:ilvl="3">
      <w:start w:val="1"/>
      <w:numFmt w:val="decimal"/>
      <w:isLgl/>
      <w:lvlText w:val="%1.%2.%3.%4."/>
      <w:lvlJc w:val="left"/>
      <w:pPr>
        <w:ind w:left="1915" w:hanging="720"/>
      </w:pPr>
      <w:rPr>
        <w:rFonts w:hint="default"/>
      </w:rPr>
    </w:lvl>
    <w:lvl w:ilvl="4">
      <w:start w:val="1"/>
      <w:numFmt w:val="decimal"/>
      <w:isLgl/>
      <w:lvlText w:val="%1.%2.%3.%4.%5."/>
      <w:lvlJc w:val="left"/>
      <w:pPr>
        <w:ind w:left="2275" w:hanging="1080"/>
      </w:pPr>
      <w:rPr>
        <w:rFonts w:hint="default"/>
      </w:rPr>
    </w:lvl>
    <w:lvl w:ilvl="5">
      <w:start w:val="1"/>
      <w:numFmt w:val="decimal"/>
      <w:isLgl/>
      <w:lvlText w:val="%1.%2.%3.%4.%5.%6."/>
      <w:lvlJc w:val="left"/>
      <w:pPr>
        <w:ind w:left="2275" w:hanging="1080"/>
      </w:pPr>
      <w:rPr>
        <w:rFonts w:hint="default"/>
      </w:rPr>
    </w:lvl>
    <w:lvl w:ilvl="6">
      <w:start w:val="1"/>
      <w:numFmt w:val="decimal"/>
      <w:isLgl/>
      <w:lvlText w:val="%1.%2.%3.%4.%5.%6.%7."/>
      <w:lvlJc w:val="left"/>
      <w:pPr>
        <w:ind w:left="2635" w:hanging="1440"/>
      </w:pPr>
      <w:rPr>
        <w:rFonts w:hint="default"/>
      </w:rPr>
    </w:lvl>
    <w:lvl w:ilvl="7">
      <w:start w:val="1"/>
      <w:numFmt w:val="decimal"/>
      <w:isLgl/>
      <w:lvlText w:val="%1.%2.%3.%4.%5.%6.%7.%8."/>
      <w:lvlJc w:val="left"/>
      <w:pPr>
        <w:ind w:left="2635" w:hanging="1440"/>
      </w:pPr>
      <w:rPr>
        <w:rFonts w:hint="default"/>
      </w:rPr>
    </w:lvl>
    <w:lvl w:ilvl="8">
      <w:start w:val="1"/>
      <w:numFmt w:val="decimal"/>
      <w:isLgl/>
      <w:lvlText w:val="%1.%2.%3.%4.%5.%6.%7.%8.%9."/>
      <w:lvlJc w:val="left"/>
      <w:pPr>
        <w:ind w:left="2635" w:hanging="1440"/>
      </w:pPr>
      <w:rPr>
        <w:rFonts w:hint="default"/>
      </w:rPr>
    </w:lvl>
  </w:abstractNum>
  <w:abstractNum w:abstractNumId="1">
    <w:nsid w:val="213B1B64"/>
    <w:multiLevelType w:val="multilevel"/>
    <w:tmpl w:val="081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7B3E13"/>
    <w:multiLevelType w:val="hybridMultilevel"/>
    <w:tmpl w:val="2F66C2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33AD358A"/>
    <w:multiLevelType w:val="hybridMultilevel"/>
    <w:tmpl w:val="6F9417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3A7023DC"/>
    <w:multiLevelType w:val="hybridMultilevel"/>
    <w:tmpl w:val="B89255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CB77247"/>
    <w:multiLevelType w:val="hybridMultilevel"/>
    <w:tmpl w:val="D92ADD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3D7913D2"/>
    <w:multiLevelType w:val="hybridMultilevel"/>
    <w:tmpl w:val="0FC453BC"/>
    <w:lvl w:ilvl="0" w:tplc="2F2AE3DC">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nsid w:val="654F4CCE"/>
    <w:multiLevelType w:val="hybridMultilevel"/>
    <w:tmpl w:val="E6144448"/>
    <w:lvl w:ilvl="0" w:tplc="6316BAFA">
      <w:numFmt w:val="bullet"/>
      <w:lvlText w:val="•"/>
      <w:lvlJc w:val="left"/>
      <w:pPr>
        <w:ind w:left="1065" w:hanging="705"/>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AAD38DC"/>
    <w:multiLevelType w:val="hybridMultilevel"/>
    <w:tmpl w:val="BA167F64"/>
    <w:lvl w:ilvl="0" w:tplc="6316BAFA">
      <w:numFmt w:val="bullet"/>
      <w:lvlText w:val="•"/>
      <w:lvlJc w:val="left"/>
      <w:pPr>
        <w:ind w:left="1065" w:hanging="705"/>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7A1D0A7D"/>
    <w:multiLevelType w:val="hybridMultilevel"/>
    <w:tmpl w:val="E9CA9C04"/>
    <w:lvl w:ilvl="0" w:tplc="D46E1D9A">
      <w:start w:val="1"/>
      <w:numFmt w:val="decimal"/>
      <w:pStyle w:val="Cabealho2"/>
      <w:lvlText w:val="1.%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nsid w:val="7A740483"/>
    <w:multiLevelType w:val="hybridMultilevel"/>
    <w:tmpl w:val="A94A14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3"/>
  </w:num>
  <w:num w:numId="5">
    <w:abstractNumId w:val="4"/>
  </w:num>
  <w:num w:numId="6">
    <w:abstractNumId w:val="2"/>
  </w:num>
  <w:num w:numId="7">
    <w:abstractNumId w:val="5"/>
  </w:num>
  <w:num w:numId="8">
    <w:abstractNumId w:val="6"/>
  </w:num>
  <w:num w:numId="9">
    <w:abstractNumId w:val="10"/>
  </w:num>
  <w:num w:numId="10">
    <w:abstractNumId w:val="8"/>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F7"/>
    <w:rsid w:val="000103A3"/>
    <w:rsid w:val="000212A3"/>
    <w:rsid w:val="00031708"/>
    <w:rsid w:val="0003415A"/>
    <w:rsid w:val="0003574B"/>
    <w:rsid w:val="000379E7"/>
    <w:rsid w:val="000477EF"/>
    <w:rsid w:val="00052C74"/>
    <w:rsid w:val="00077F29"/>
    <w:rsid w:val="00083B9A"/>
    <w:rsid w:val="00084B99"/>
    <w:rsid w:val="00090273"/>
    <w:rsid w:val="000A2B5D"/>
    <w:rsid w:val="000C1320"/>
    <w:rsid w:val="000C34BE"/>
    <w:rsid w:val="000C5DF0"/>
    <w:rsid w:val="000D11FA"/>
    <w:rsid w:val="000D3306"/>
    <w:rsid w:val="000D7808"/>
    <w:rsid w:val="000E2564"/>
    <w:rsid w:val="00100E31"/>
    <w:rsid w:val="00101510"/>
    <w:rsid w:val="00104956"/>
    <w:rsid w:val="00105269"/>
    <w:rsid w:val="00106B36"/>
    <w:rsid w:val="00114C63"/>
    <w:rsid w:val="00121801"/>
    <w:rsid w:val="0012671A"/>
    <w:rsid w:val="00131125"/>
    <w:rsid w:val="001407FE"/>
    <w:rsid w:val="00141125"/>
    <w:rsid w:val="001554FF"/>
    <w:rsid w:val="00155536"/>
    <w:rsid w:val="00156787"/>
    <w:rsid w:val="00157402"/>
    <w:rsid w:val="0017145C"/>
    <w:rsid w:val="0017202C"/>
    <w:rsid w:val="001731E6"/>
    <w:rsid w:val="0017766C"/>
    <w:rsid w:val="00184016"/>
    <w:rsid w:val="001969D8"/>
    <w:rsid w:val="001A033F"/>
    <w:rsid w:val="001A1E75"/>
    <w:rsid w:val="001A6082"/>
    <w:rsid w:val="001B1666"/>
    <w:rsid w:val="001B60E9"/>
    <w:rsid w:val="001C1B40"/>
    <w:rsid w:val="001D1D46"/>
    <w:rsid w:val="001D71ED"/>
    <w:rsid w:val="001E6777"/>
    <w:rsid w:val="001F3561"/>
    <w:rsid w:val="001F4C9F"/>
    <w:rsid w:val="00200180"/>
    <w:rsid w:val="00210603"/>
    <w:rsid w:val="00216E0F"/>
    <w:rsid w:val="00231E37"/>
    <w:rsid w:val="0023373D"/>
    <w:rsid w:val="0024566A"/>
    <w:rsid w:val="00247C4E"/>
    <w:rsid w:val="002550BE"/>
    <w:rsid w:val="00257D67"/>
    <w:rsid w:val="00260115"/>
    <w:rsid w:val="0026201E"/>
    <w:rsid w:val="0027322A"/>
    <w:rsid w:val="00276C2A"/>
    <w:rsid w:val="00282382"/>
    <w:rsid w:val="00282C41"/>
    <w:rsid w:val="00284D18"/>
    <w:rsid w:val="00287E4C"/>
    <w:rsid w:val="00290815"/>
    <w:rsid w:val="00291324"/>
    <w:rsid w:val="002973A4"/>
    <w:rsid w:val="002A0BAE"/>
    <w:rsid w:val="002A2275"/>
    <w:rsid w:val="002A24B6"/>
    <w:rsid w:val="002A7E9B"/>
    <w:rsid w:val="002C4B46"/>
    <w:rsid w:val="002C6B86"/>
    <w:rsid w:val="002D0DB8"/>
    <w:rsid w:val="002D2E1E"/>
    <w:rsid w:val="002D5841"/>
    <w:rsid w:val="002D66DD"/>
    <w:rsid w:val="002D75C0"/>
    <w:rsid w:val="002D76D0"/>
    <w:rsid w:val="002F3713"/>
    <w:rsid w:val="002F45C2"/>
    <w:rsid w:val="002F4740"/>
    <w:rsid w:val="00305113"/>
    <w:rsid w:val="0031388F"/>
    <w:rsid w:val="003138DA"/>
    <w:rsid w:val="00323A05"/>
    <w:rsid w:val="00330093"/>
    <w:rsid w:val="00331307"/>
    <w:rsid w:val="0035517E"/>
    <w:rsid w:val="00355309"/>
    <w:rsid w:val="0036193E"/>
    <w:rsid w:val="00365138"/>
    <w:rsid w:val="003710EB"/>
    <w:rsid w:val="00387F0C"/>
    <w:rsid w:val="003A3A9F"/>
    <w:rsid w:val="003A45DB"/>
    <w:rsid w:val="003A77A8"/>
    <w:rsid w:val="003B65E5"/>
    <w:rsid w:val="003B7CEC"/>
    <w:rsid w:val="003C1D81"/>
    <w:rsid w:val="003C6965"/>
    <w:rsid w:val="003C7C04"/>
    <w:rsid w:val="003E165C"/>
    <w:rsid w:val="003E2CD2"/>
    <w:rsid w:val="003E7932"/>
    <w:rsid w:val="003F08B2"/>
    <w:rsid w:val="003F1B13"/>
    <w:rsid w:val="003F33C8"/>
    <w:rsid w:val="003F7A27"/>
    <w:rsid w:val="00402661"/>
    <w:rsid w:val="00403C55"/>
    <w:rsid w:val="00403CF9"/>
    <w:rsid w:val="00410B34"/>
    <w:rsid w:val="004158E6"/>
    <w:rsid w:val="00425E81"/>
    <w:rsid w:val="00426024"/>
    <w:rsid w:val="00431BB5"/>
    <w:rsid w:val="00435433"/>
    <w:rsid w:val="00444067"/>
    <w:rsid w:val="004443A8"/>
    <w:rsid w:val="00446EA8"/>
    <w:rsid w:val="00447B21"/>
    <w:rsid w:val="00453652"/>
    <w:rsid w:val="0046467C"/>
    <w:rsid w:val="00474AF3"/>
    <w:rsid w:val="0048203D"/>
    <w:rsid w:val="00486645"/>
    <w:rsid w:val="0049174B"/>
    <w:rsid w:val="004A7C9D"/>
    <w:rsid w:val="004B49FD"/>
    <w:rsid w:val="004B67D7"/>
    <w:rsid w:val="004C6C1E"/>
    <w:rsid w:val="004D206F"/>
    <w:rsid w:val="004D50CF"/>
    <w:rsid w:val="004D7E9B"/>
    <w:rsid w:val="004E072F"/>
    <w:rsid w:val="004E18E4"/>
    <w:rsid w:val="004F14FB"/>
    <w:rsid w:val="004F3CB5"/>
    <w:rsid w:val="004F762C"/>
    <w:rsid w:val="0050142D"/>
    <w:rsid w:val="00501896"/>
    <w:rsid w:val="005026CA"/>
    <w:rsid w:val="00505BC6"/>
    <w:rsid w:val="00512045"/>
    <w:rsid w:val="005152B8"/>
    <w:rsid w:val="005221E3"/>
    <w:rsid w:val="00526ADB"/>
    <w:rsid w:val="00532145"/>
    <w:rsid w:val="005349D1"/>
    <w:rsid w:val="00537997"/>
    <w:rsid w:val="005463DE"/>
    <w:rsid w:val="00546BFF"/>
    <w:rsid w:val="00547B7A"/>
    <w:rsid w:val="00551F85"/>
    <w:rsid w:val="00555DFC"/>
    <w:rsid w:val="00557A88"/>
    <w:rsid w:val="00560AA1"/>
    <w:rsid w:val="005623DB"/>
    <w:rsid w:val="005710C5"/>
    <w:rsid w:val="005722E2"/>
    <w:rsid w:val="00573843"/>
    <w:rsid w:val="00580B78"/>
    <w:rsid w:val="005813E1"/>
    <w:rsid w:val="00583C04"/>
    <w:rsid w:val="00584BEE"/>
    <w:rsid w:val="00585829"/>
    <w:rsid w:val="005A4896"/>
    <w:rsid w:val="005A7912"/>
    <w:rsid w:val="005B0105"/>
    <w:rsid w:val="005B3172"/>
    <w:rsid w:val="005C4686"/>
    <w:rsid w:val="005C515F"/>
    <w:rsid w:val="005D266B"/>
    <w:rsid w:val="005D4EA0"/>
    <w:rsid w:val="005E20A7"/>
    <w:rsid w:val="005F6824"/>
    <w:rsid w:val="00601A01"/>
    <w:rsid w:val="00616C7B"/>
    <w:rsid w:val="00616F27"/>
    <w:rsid w:val="006235D6"/>
    <w:rsid w:val="00624F49"/>
    <w:rsid w:val="00625C82"/>
    <w:rsid w:val="00632E6F"/>
    <w:rsid w:val="00637872"/>
    <w:rsid w:val="006378A6"/>
    <w:rsid w:val="00643CF1"/>
    <w:rsid w:val="00645D0D"/>
    <w:rsid w:val="00647A2F"/>
    <w:rsid w:val="006560F9"/>
    <w:rsid w:val="0066377E"/>
    <w:rsid w:val="0066593B"/>
    <w:rsid w:val="00673C19"/>
    <w:rsid w:val="006748B6"/>
    <w:rsid w:val="006769E6"/>
    <w:rsid w:val="006818D3"/>
    <w:rsid w:val="00682A5D"/>
    <w:rsid w:val="006838A2"/>
    <w:rsid w:val="00683EFA"/>
    <w:rsid w:val="006863C6"/>
    <w:rsid w:val="00690FB6"/>
    <w:rsid w:val="0069683E"/>
    <w:rsid w:val="006A20D0"/>
    <w:rsid w:val="006A38C0"/>
    <w:rsid w:val="006A66B6"/>
    <w:rsid w:val="006B77B7"/>
    <w:rsid w:val="006C1622"/>
    <w:rsid w:val="006C60DA"/>
    <w:rsid w:val="006C7B8E"/>
    <w:rsid w:val="006D6168"/>
    <w:rsid w:val="006E428E"/>
    <w:rsid w:val="006F0905"/>
    <w:rsid w:val="006F2768"/>
    <w:rsid w:val="006F59CD"/>
    <w:rsid w:val="006F785B"/>
    <w:rsid w:val="00702D92"/>
    <w:rsid w:val="00703EF6"/>
    <w:rsid w:val="007104FC"/>
    <w:rsid w:val="00710DDD"/>
    <w:rsid w:val="007218AD"/>
    <w:rsid w:val="00723212"/>
    <w:rsid w:val="007256F7"/>
    <w:rsid w:val="00727AF7"/>
    <w:rsid w:val="0073440E"/>
    <w:rsid w:val="0073480F"/>
    <w:rsid w:val="00737491"/>
    <w:rsid w:val="00747C2B"/>
    <w:rsid w:val="00753392"/>
    <w:rsid w:val="00765F26"/>
    <w:rsid w:val="00775AFC"/>
    <w:rsid w:val="00776988"/>
    <w:rsid w:val="00776C48"/>
    <w:rsid w:val="00781674"/>
    <w:rsid w:val="0078180D"/>
    <w:rsid w:val="007822EA"/>
    <w:rsid w:val="00792198"/>
    <w:rsid w:val="007A06E6"/>
    <w:rsid w:val="007A591F"/>
    <w:rsid w:val="007B07E0"/>
    <w:rsid w:val="007C4B8B"/>
    <w:rsid w:val="007C73AE"/>
    <w:rsid w:val="007D40C9"/>
    <w:rsid w:val="007D4DA1"/>
    <w:rsid w:val="007D6C18"/>
    <w:rsid w:val="007E3B6F"/>
    <w:rsid w:val="007E4F16"/>
    <w:rsid w:val="007E598C"/>
    <w:rsid w:val="007E7DF7"/>
    <w:rsid w:val="007F296E"/>
    <w:rsid w:val="008012F7"/>
    <w:rsid w:val="0080250B"/>
    <w:rsid w:val="00807A6F"/>
    <w:rsid w:val="00807D28"/>
    <w:rsid w:val="00813543"/>
    <w:rsid w:val="008167E1"/>
    <w:rsid w:val="00820CF2"/>
    <w:rsid w:val="00827F51"/>
    <w:rsid w:val="00836123"/>
    <w:rsid w:val="00842DC0"/>
    <w:rsid w:val="00844665"/>
    <w:rsid w:val="008518C3"/>
    <w:rsid w:val="00855D07"/>
    <w:rsid w:val="00856A7D"/>
    <w:rsid w:val="00863563"/>
    <w:rsid w:val="008678F6"/>
    <w:rsid w:val="00873E92"/>
    <w:rsid w:val="00875439"/>
    <w:rsid w:val="00876461"/>
    <w:rsid w:val="008814B1"/>
    <w:rsid w:val="00891641"/>
    <w:rsid w:val="008B2E67"/>
    <w:rsid w:val="008C0159"/>
    <w:rsid w:val="008C2C84"/>
    <w:rsid w:val="008C5EDB"/>
    <w:rsid w:val="008D493F"/>
    <w:rsid w:val="008D4D7B"/>
    <w:rsid w:val="008D54B7"/>
    <w:rsid w:val="008E2FC5"/>
    <w:rsid w:val="008E7D51"/>
    <w:rsid w:val="008F4106"/>
    <w:rsid w:val="009021E1"/>
    <w:rsid w:val="00920C6F"/>
    <w:rsid w:val="00924EE9"/>
    <w:rsid w:val="009255E1"/>
    <w:rsid w:val="00930001"/>
    <w:rsid w:val="0093103D"/>
    <w:rsid w:val="00934A9D"/>
    <w:rsid w:val="00944BFC"/>
    <w:rsid w:val="00953659"/>
    <w:rsid w:val="00963E5C"/>
    <w:rsid w:val="00970536"/>
    <w:rsid w:val="00973BD3"/>
    <w:rsid w:val="009923F2"/>
    <w:rsid w:val="00992B51"/>
    <w:rsid w:val="00995F0F"/>
    <w:rsid w:val="00997FD6"/>
    <w:rsid w:val="009A27CC"/>
    <w:rsid w:val="009A63DE"/>
    <w:rsid w:val="009B36CB"/>
    <w:rsid w:val="009B6954"/>
    <w:rsid w:val="009D33DA"/>
    <w:rsid w:val="009D3550"/>
    <w:rsid w:val="009D3DFA"/>
    <w:rsid w:val="009F1C21"/>
    <w:rsid w:val="009F2BCD"/>
    <w:rsid w:val="009F2F22"/>
    <w:rsid w:val="00A0085B"/>
    <w:rsid w:val="00A05769"/>
    <w:rsid w:val="00A15E3C"/>
    <w:rsid w:val="00A22AC0"/>
    <w:rsid w:val="00A337BD"/>
    <w:rsid w:val="00A342B8"/>
    <w:rsid w:val="00A354B4"/>
    <w:rsid w:val="00A363FC"/>
    <w:rsid w:val="00A45F88"/>
    <w:rsid w:val="00A527C4"/>
    <w:rsid w:val="00A544A0"/>
    <w:rsid w:val="00A564FE"/>
    <w:rsid w:val="00A66F90"/>
    <w:rsid w:val="00A71BD3"/>
    <w:rsid w:val="00A8261E"/>
    <w:rsid w:val="00A84193"/>
    <w:rsid w:val="00A905C4"/>
    <w:rsid w:val="00A921C1"/>
    <w:rsid w:val="00A95820"/>
    <w:rsid w:val="00A972F9"/>
    <w:rsid w:val="00AB05A4"/>
    <w:rsid w:val="00AC00CA"/>
    <w:rsid w:val="00AC4497"/>
    <w:rsid w:val="00AC48DA"/>
    <w:rsid w:val="00AC6141"/>
    <w:rsid w:val="00AD2D32"/>
    <w:rsid w:val="00AD5506"/>
    <w:rsid w:val="00AE1E4C"/>
    <w:rsid w:val="00AE3CF4"/>
    <w:rsid w:val="00AE4C74"/>
    <w:rsid w:val="00AF374C"/>
    <w:rsid w:val="00AF44DC"/>
    <w:rsid w:val="00AF4F13"/>
    <w:rsid w:val="00AF620B"/>
    <w:rsid w:val="00AF7520"/>
    <w:rsid w:val="00B117F7"/>
    <w:rsid w:val="00B14684"/>
    <w:rsid w:val="00B174D6"/>
    <w:rsid w:val="00B35B93"/>
    <w:rsid w:val="00B61887"/>
    <w:rsid w:val="00B62165"/>
    <w:rsid w:val="00B630F5"/>
    <w:rsid w:val="00B63B2D"/>
    <w:rsid w:val="00B73D7B"/>
    <w:rsid w:val="00B7400D"/>
    <w:rsid w:val="00B93286"/>
    <w:rsid w:val="00BA2CE4"/>
    <w:rsid w:val="00BA2DEA"/>
    <w:rsid w:val="00BA5DF9"/>
    <w:rsid w:val="00BB331F"/>
    <w:rsid w:val="00BB3E47"/>
    <w:rsid w:val="00BB65BC"/>
    <w:rsid w:val="00BC26F9"/>
    <w:rsid w:val="00BD680D"/>
    <w:rsid w:val="00BE602B"/>
    <w:rsid w:val="00BF0876"/>
    <w:rsid w:val="00BF34AD"/>
    <w:rsid w:val="00C02877"/>
    <w:rsid w:val="00C169F4"/>
    <w:rsid w:val="00C27EA3"/>
    <w:rsid w:val="00C4040B"/>
    <w:rsid w:val="00C411D7"/>
    <w:rsid w:val="00C416B6"/>
    <w:rsid w:val="00C41FBF"/>
    <w:rsid w:val="00C46AF5"/>
    <w:rsid w:val="00C536FF"/>
    <w:rsid w:val="00C53C03"/>
    <w:rsid w:val="00C575D7"/>
    <w:rsid w:val="00C57ADB"/>
    <w:rsid w:val="00C630AF"/>
    <w:rsid w:val="00C7325A"/>
    <w:rsid w:val="00C80C5B"/>
    <w:rsid w:val="00C819BC"/>
    <w:rsid w:val="00C97957"/>
    <w:rsid w:val="00CA0429"/>
    <w:rsid w:val="00CA13D8"/>
    <w:rsid w:val="00CA4B28"/>
    <w:rsid w:val="00CB0F5C"/>
    <w:rsid w:val="00CB1898"/>
    <w:rsid w:val="00CB2565"/>
    <w:rsid w:val="00CB69BB"/>
    <w:rsid w:val="00CB70CF"/>
    <w:rsid w:val="00CB7504"/>
    <w:rsid w:val="00CC264C"/>
    <w:rsid w:val="00CC3100"/>
    <w:rsid w:val="00CC7236"/>
    <w:rsid w:val="00CD29D1"/>
    <w:rsid w:val="00CD4B63"/>
    <w:rsid w:val="00CD5AE1"/>
    <w:rsid w:val="00CE481C"/>
    <w:rsid w:val="00CE4CA5"/>
    <w:rsid w:val="00CE720D"/>
    <w:rsid w:val="00CF04A0"/>
    <w:rsid w:val="00CF0CAB"/>
    <w:rsid w:val="00CF29C4"/>
    <w:rsid w:val="00CF4B59"/>
    <w:rsid w:val="00CF6429"/>
    <w:rsid w:val="00D02DE0"/>
    <w:rsid w:val="00D04B8C"/>
    <w:rsid w:val="00D07E1C"/>
    <w:rsid w:val="00D107E9"/>
    <w:rsid w:val="00D13168"/>
    <w:rsid w:val="00D16E5B"/>
    <w:rsid w:val="00D2332F"/>
    <w:rsid w:val="00D35833"/>
    <w:rsid w:val="00D5401D"/>
    <w:rsid w:val="00D650F5"/>
    <w:rsid w:val="00D662D5"/>
    <w:rsid w:val="00D727F9"/>
    <w:rsid w:val="00D800B0"/>
    <w:rsid w:val="00D8587B"/>
    <w:rsid w:val="00DA4FF3"/>
    <w:rsid w:val="00DB61EB"/>
    <w:rsid w:val="00DB74A4"/>
    <w:rsid w:val="00DC5B3F"/>
    <w:rsid w:val="00DC693B"/>
    <w:rsid w:val="00DE01FB"/>
    <w:rsid w:val="00DE31C9"/>
    <w:rsid w:val="00DE3DC8"/>
    <w:rsid w:val="00DE442E"/>
    <w:rsid w:val="00DF058D"/>
    <w:rsid w:val="00DF196C"/>
    <w:rsid w:val="00DF2A9D"/>
    <w:rsid w:val="00DF7C35"/>
    <w:rsid w:val="00E00705"/>
    <w:rsid w:val="00E01B49"/>
    <w:rsid w:val="00E01D6D"/>
    <w:rsid w:val="00E050B5"/>
    <w:rsid w:val="00E07A61"/>
    <w:rsid w:val="00E135B9"/>
    <w:rsid w:val="00E14ED2"/>
    <w:rsid w:val="00E200E5"/>
    <w:rsid w:val="00E20A71"/>
    <w:rsid w:val="00E249F9"/>
    <w:rsid w:val="00E35282"/>
    <w:rsid w:val="00E37705"/>
    <w:rsid w:val="00E46F06"/>
    <w:rsid w:val="00E603B6"/>
    <w:rsid w:val="00E63876"/>
    <w:rsid w:val="00E65AC8"/>
    <w:rsid w:val="00E67650"/>
    <w:rsid w:val="00E772FE"/>
    <w:rsid w:val="00E8737F"/>
    <w:rsid w:val="00E902E2"/>
    <w:rsid w:val="00EA4A5B"/>
    <w:rsid w:val="00EA5321"/>
    <w:rsid w:val="00EA7E11"/>
    <w:rsid w:val="00EB674E"/>
    <w:rsid w:val="00EC732D"/>
    <w:rsid w:val="00ED14A8"/>
    <w:rsid w:val="00ED58C0"/>
    <w:rsid w:val="00ED6D52"/>
    <w:rsid w:val="00EE286B"/>
    <w:rsid w:val="00EE5C6A"/>
    <w:rsid w:val="00F0347C"/>
    <w:rsid w:val="00F03D99"/>
    <w:rsid w:val="00F05119"/>
    <w:rsid w:val="00F1062F"/>
    <w:rsid w:val="00F12FCE"/>
    <w:rsid w:val="00F308A8"/>
    <w:rsid w:val="00F37EEB"/>
    <w:rsid w:val="00F46EF8"/>
    <w:rsid w:val="00F50D98"/>
    <w:rsid w:val="00F64DC3"/>
    <w:rsid w:val="00F65740"/>
    <w:rsid w:val="00F65DE8"/>
    <w:rsid w:val="00F73852"/>
    <w:rsid w:val="00F749B0"/>
    <w:rsid w:val="00F8264A"/>
    <w:rsid w:val="00F93BAD"/>
    <w:rsid w:val="00F94ED1"/>
    <w:rsid w:val="00F95BEF"/>
    <w:rsid w:val="00FA0802"/>
    <w:rsid w:val="00FA3F9B"/>
    <w:rsid w:val="00FA747B"/>
    <w:rsid w:val="00FA77BB"/>
    <w:rsid w:val="00FC020E"/>
    <w:rsid w:val="00FE285B"/>
    <w:rsid w:val="00FF28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EA"/>
    <w:pPr>
      <w:spacing w:after="0" w:line="240" w:lineRule="auto"/>
      <w:ind w:left="835"/>
    </w:pPr>
    <w:rPr>
      <w:rFonts w:ascii="Arial" w:eastAsia="Times New Roman" w:hAnsi="Arial" w:cs="Times New Roman"/>
      <w:spacing w:val="-5"/>
      <w:sz w:val="20"/>
      <w:szCs w:val="20"/>
    </w:rPr>
  </w:style>
  <w:style w:type="paragraph" w:styleId="Cabealho1">
    <w:name w:val="heading 1"/>
    <w:basedOn w:val="Normal"/>
    <w:next w:val="Normal"/>
    <w:link w:val="Cabealho1Carcter"/>
    <w:autoRedefine/>
    <w:uiPriority w:val="9"/>
    <w:qFormat/>
    <w:rsid w:val="00C411D7"/>
    <w:pPr>
      <w:keepNext/>
      <w:keepLines/>
      <w:numPr>
        <w:numId w:val="1"/>
      </w:numPr>
      <w:spacing w:before="360" w:after="240" w:line="360" w:lineRule="auto"/>
      <w:ind w:left="426" w:hanging="426"/>
      <w:outlineLvl w:val="0"/>
    </w:pPr>
    <w:rPr>
      <w:rFonts w:eastAsiaTheme="majorEastAsia" w:cs="Arial"/>
      <w:b/>
      <w:smallCaps/>
      <w:sz w:val="22"/>
      <w:szCs w:val="32"/>
    </w:rPr>
  </w:style>
  <w:style w:type="paragraph" w:styleId="Cabealho2">
    <w:name w:val="heading 2"/>
    <w:basedOn w:val="Normal"/>
    <w:next w:val="Normal"/>
    <w:link w:val="Cabealho2Carcter"/>
    <w:autoRedefine/>
    <w:uiPriority w:val="9"/>
    <w:unhideWhenUsed/>
    <w:qFormat/>
    <w:rsid w:val="00E67650"/>
    <w:pPr>
      <w:keepNext/>
      <w:keepLines/>
      <w:numPr>
        <w:numId w:val="2"/>
      </w:numPr>
      <w:spacing w:before="40"/>
      <w:outlineLvl w:val="1"/>
    </w:pPr>
    <w:rPr>
      <w:rFonts w:eastAsiaTheme="majorEastAsia" w:cstheme="majorBidi"/>
      <w:szCs w:val="26"/>
      <w:lang w:eastAsia="pt-PT"/>
    </w:rPr>
  </w:style>
  <w:style w:type="paragraph" w:styleId="Cabealho3">
    <w:name w:val="heading 3"/>
    <w:basedOn w:val="Normal"/>
    <w:next w:val="Normal"/>
    <w:link w:val="Cabealho3Carcter"/>
    <w:uiPriority w:val="9"/>
    <w:unhideWhenUsed/>
    <w:qFormat/>
    <w:rsid w:val="000C132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7E7DF7"/>
    <w:pPr>
      <w:spacing w:after="220" w:line="180" w:lineRule="atLeast"/>
      <w:jc w:val="both"/>
    </w:pPr>
  </w:style>
  <w:style w:type="character" w:customStyle="1" w:styleId="CorpodetextoCarcter">
    <w:name w:val="Corpo de texto Carácter"/>
    <w:basedOn w:val="Tipodeletrapredefinidodopargrafo"/>
    <w:link w:val="Corpodetexto"/>
    <w:rsid w:val="007E7DF7"/>
    <w:rPr>
      <w:rFonts w:ascii="Arial" w:eastAsia="Times New Roman" w:hAnsi="Arial" w:cs="Times New Roman"/>
      <w:spacing w:val="-5"/>
      <w:sz w:val="20"/>
      <w:szCs w:val="20"/>
    </w:rPr>
  </w:style>
  <w:style w:type="paragraph" w:styleId="Rodap">
    <w:name w:val="footer"/>
    <w:basedOn w:val="Normal"/>
    <w:link w:val="RodapCarcter"/>
    <w:uiPriority w:val="99"/>
    <w:rsid w:val="007E7DF7"/>
    <w:pPr>
      <w:keepLines/>
      <w:tabs>
        <w:tab w:val="center" w:pos="4320"/>
        <w:tab w:val="right" w:pos="8640"/>
      </w:tabs>
      <w:spacing w:before="600" w:line="180" w:lineRule="atLeast"/>
      <w:jc w:val="both"/>
    </w:pPr>
    <w:rPr>
      <w:sz w:val="18"/>
    </w:rPr>
  </w:style>
  <w:style w:type="character" w:customStyle="1" w:styleId="RodapCarcter">
    <w:name w:val="Rodapé Carácter"/>
    <w:basedOn w:val="Tipodeletrapredefinidodopargrafo"/>
    <w:link w:val="Rodap"/>
    <w:uiPriority w:val="99"/>
    <w:rsid w:val="007E7DF7"/>
    <w:rPr>
      <w:rFonts w:ascii="Arial" w:eastAsia="Times New Roman" w:hAnsi="Arial" w:cs="Times New Roman"/>
      <w:spacing w:val="-5"/>
      <w:sz w:val="18"/>
      <w:szCs w:val="20"/>
    </w:rPr>
  </w:style>
  <w:style w:type="paragraph" w:styleId="Cabealho">
    <w:name w:val="header"/>
    <w:basedOn w:val="Normal"/>
    <w:link w:val="CabealhoCarcter"/>
    <w:rsid w:val="007E7DF7"/>
    <w:pPr>
      <w:keepLines/>
      <w:tabs>
        <w:tab w:val="center" w:pos="4320"/>
        <w:tab w:val="right" w:pos="8640"/>
      </w:tabs>
      <w:spacing w:after="600" w:line="180" w:lineRule="atLeast"/>
      <w:jc w:val="both"/>
    </w:pPr>
  </w:style>
  <w:style w:type="character" w:customStyle="1" w:styleId="CabealhoCarcter">
    <w:name w:val="Cabeçalho Carácter"/>
    <w:basedOn w:val="Tipodeletrapredefinidodopargrafo"/>
    <w:link w:val="Cabealho"/>
    <w:rsid w:val="007E7DF7"/>
    <w:rPr>
      <w:rFonts w:ascii="Arial" w:eastAsia="Times New Roman" w:hAnsi="Arial" w:cs="Times New Roman"/>
      <w:spacing w:val="-5"/>
      <w:sz w:val="20"/>
      <w:szCs w:val="20"/>
    </w:rPr>
  </w:style>
  <w:style w:type="character" w:customStyle="1" w:styleId="MessageHeaderLabel">
    <w:name w:val="Message Header Label"/>
    <w:rsid w:val="007E7DF7"/>
    <w:rPr>
      <w:b/>
      <w:sz w:val="18"/>
    </w:rPr>
  </w:style>
  <w:style w:type="paragraph" w:styleId="NormalWeb">
    <w:name w:val="Normal (Web)"/>
    <w:basedOn w:val="Normal"/>
    <w:uiPriority w:val="99"/>
    <w:rsid w:val="00F05119"/>
    <w:rPr>
      <w:rFonts w:ascii="Times New Roman" w:hAnsi="Times New Roman"/>
      <w:sz w:val="24"/>
      <w:szCs w:val="24"/>
    </w:rPr>
  </w:style>
  <w:style w:type="paragraph" w:styleId="PargrafodaLista">
    <w:name w:val="List Paragraph"/>
    <w:basedOn w:val="Normal"/>
    <w:link w:val="PargrafodaListaCarcter"/>
    <w:uiPriority w:val="34"/>
    <w:qFormat/>
    <w:rsid w:val="00F05119"/>
    <w:pPr>
      <w:spacing w:after="200" w:line="276" w:lineRule="auto"/>
      <w:ind w:left="720"/>
      <w:contextualSpacing/>
    </w:pPr>
    <w:rPr>
      <w:rFonts w:ascii="Calibri" w:eastAsia="Calibri" w:hAnsi="Calibri"/>
      <w:spacing w:val="0"/>
      <w:sz w:val="22"/>
      <w:szCs w:val="22"/>
    </w:rPr>
  </w:style>
  <w:style w:type="paragraph" w:customStyle="1" w:styleId="ManualNormal">
    <w:name w:val="Manual_Normal"/>
    <w:basedOn w:val="Normal"/>
    <w:link w:val="ManualNormalCarcter"/>
    <w:qFormat/>
    <w:rsid w:val="007D4DA1"/>
    <w:pPr>
      <w:spacing w:before="120" w:after="120" w:line="360" w:lineRule="auto"/>
      <w:ind w:left="0"/>
      <w:jc w:val="both"/>
    </w:pPr>
    <w:rPr>
      <w:rFonts w:eastAsia="Calibri" w:cs="Arial"/>
      <w:spacing w:val="0"/>
    </w:rPr>
  </w:style>
  <w:style w:type="character" w:customStyle="1" w:styleId="ManualNormalCarcter">
    <w:name w:val="Manual_Normal Carácter"/>
    <w:basedOn w:val="Tipodeletrapredefinidodopargrafo"/>
    <w:link w:val="ManualNormal"/>
    <w:rsid w:val="007D4DA1"/>
    <w:rPr>
      <w:rFonts w:ascii="Arial" w:eastAsia="Calibri" w:hAnsi="Arial" w:cs="Arial"/>
      <w:sz w:val="20"/>
      <w:szCs w:val="20"/>
    </w:rPr>
  </w:style>
  <w:style w:type="character" w:styleId="Hiperligao">
    <w:name w:val="Hyperlink"/>
    <w:basedOn w:val="Tipodeletrapredefinidodopargrafo"/>
    <w:rsid w:val="001A033F"/>
    <w:rPr>
      <w:color w:val="0000FF"/>
      <w:u w:val="single"/>
    </w:rPr>
  </w:style>
  <w:style w:type="character" w:customStyle="1" w:styleId="Cabealho1Carcter">
    <w:name w:val="Cabeçalho 1 Carácter"/>
    <w:basedOn w:val="Tipodeletrapredefinidodopargrafo"/>
    <w:link w:val="Cabealho1"/>
    <w:uiPriority w:val="9"/>
    <w:rsid w:val="00C411D7"/>
    <w:rPr>
      <w:rFonts w:ascii="Arial" w:eastAsiaTheme="majorEastAsia" w:hAnsi="Arial" w:cs="Arial"/>
      <w:b/>
      <w:smallCaps/>
      <w:spacing w:val="-5"/>
      <w:szCs w:val="32"/>
    </w:rPr>
  </w:style>
  <w:style w:type="character" w:customStyle="1" w:styleId="Cabealho2Carcter">
    <w:name w:val="Cabeçalho 2 Carácter"/>
    <w:basedOn w:val="Tipodeletrapredefinidodopargrafo"/>
    <w:link w:val="Cabealho2"/>
    <w:uiPriority w:val="9"/>
    <w:rsid w:val="000C1320"/>
    <w:rPr>
      <w:rFonts w:ascii="Arial" w:eastAsiaTheme="majorEastAsia" w:hAnsi="Arial" w:cstheme="majorBidi"/>
      <w:spacing w:val="-5"/>
      <w:sz w:val="20"/>
      <w:szCs w:val="26"/>
      <w:lang w:eastAsia="pt-PT"/>
    </w:rPr>
  </w:style>
  <w:style w:type="character" w:customStyle="1" w:styleId="Cabealho3Carcter">
    <w:name w:val="Cabeçalho 3 Carácter"/>
    <w:basedOn w:val="Tipodeletrapredefinidodopargrafo"/>
    <w:link w:val="Cabealho3"/>
    <w:uiPriority w:val="9"/>
    <w:rsid w:val="000C1320"/>
    <w:rPr>
      <w:rFonts w:asciiTheme="majorHAnsi" w:eastAsiaTheme="majorEastAsia" w:hAnsiTheme="majorHAnsi" w:cstheme="majorBidi"/>
      <w:color w:val="1F4D78" w:themeColor="accent1" w:themeShade="7F"/>
      <w:spacing w:val="-5"/>
      <w:sz w:val="24"/>
      <w:szCs w:val="24"/>
    </w:rPr>
  </w:style>
  <w:style w:type="table" w:styleId="Tabelacomgrelha">
    <w:name w:val="Table Grid"/>
    <w:basedOn w:val="Tabelanormal"/>
    <w:uiPriority w:val="59"/>
    <w:rsid w:val="00E249F9"/>
    <w:pPr>
      <w:spacing w:after="0" w:line="240" w:lineRule="auto"/>
      <w:ind w:left="835"/>
    </w:pPr>
    <w:rPr>
      <w:rFonts w:ascii="Times New Roman" w:eastAsia="SimSu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0802"/>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cter"/>
    <w:uiPriority w:val="99"/>
    <w:semiHidden/>
    <w:unhideWhenUsed/>
    <w:rsid w:val="00FA0802"/>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FA0802"/>
    <w:rPr>
      <w:rFonts w:ascii="Segoe UI" w:eastAsia="Times New Roman" w:hAnsi="Segoe UI" w:cs="Segoe UI"/>
      <w:spacing w:val="-5"/>
      <w:sz w:val="18"/>
      <w:szCs w:val="18"/>
    </w:rPr>
  </w:style>
  <w:style w:type="character" w:styleId="Refdecomentrio">
    <w:name w:val="annotation reference"/>
    <w:basedOn w:val="Tipodeletrapredefinidodopargrafo"/>
    <w:uiPriority w:val="99"/>
    <w:semiHidden/>
    <w:unhideWhenUsed/>
    <w:rsid w:val="005D4EA0"/>
    <w:rPr>
      <w:sz w:val="16"/>
      <w:szCs w:val="16"/>
    </w:rPr>
  </w:style>
  <w:style w:type="paragraph" w:styleId="Textodecomentrio">
    <w:name w:val="annotation text"/>
    <w:basedOn w:val="Normal"/>
    <w:link w:val="TextodecomentrioCarcter"/>
    <w:uiPriority w:val="99"/>
    <w:semiHidden/>
    <w:unhideWhenUsed/>
    <w:rsid w:val="005D4EA0"/>
  </w:style>
  <w:style w:type="character" w:customStyle="1" w:styleId="TextodecomentrioCarcter">
    <w:name w:val="Texto de comentário Carácter"/>
    <w:basedOn w:val="Tipodeletrapredefinidodopargrafo"/>
    <w:link w:val="Textodecomentrio"/>
    <w:uiPriority w:val="99"/>
    <w:semiHidden/>
    <w:rsid w:val="005D4EA0"/>
    <w:rPr>
      <w:rFonts w:ascii="Arial" w:eastAsia="Times New Roman" w:hAnsi="Arial" w:cs="Times New Roman"/>
      <w:spacing w:val="-5"/>
      <w:sz w:val="20"/>
      <w:szCs w:val="20"/>
    </w:rPr>
  </w:style>
  <w:style w:type="paragraph" w:styleId="Assuntodecomentrio">
    <w:name w:val="annotation subject"/>
    <w:basedOn w:val="Textodecomentrio"/>
    <w:next w:val="Textodecomentrio"/>
    <w:link w:val="AssuntodecomentrioCarcter"/>
    <w:uiPriority w:val="99"/>
    <w:semiHidden/>
    <w:unhideWhenUsed/>
    <w:rsid w:val="005D4EA0"/>
    <w:rPr>
      <w:b/>
      <w:bCs/>
    </w:rPr>
  </w:style>
  <w:style w:type="character" w:customStyle="1" w:styleId="AssuntodecomentrioCarcter">
    <w:name w:val="Assunto de comentário Carácter"/>
    <w:basedOn w:val="TextodecomentrioCarcter"/>
    <w:link w:val="Assuntodecomentrio"/>
    <w:uiPriority w:val="99"/>
    <w:semiHidden/>
    <w:rsid w:val="005D4EA0"/>
    <w:rPr>
      <w:rFonts w:ascii="Arial" w:eastAsia="Times New Roman" w:hAnsi="Arial" w:cs="Times New Roman"/>
      <w:b/>
      <w:bCs/>
      <w:spacing w:val="-5"/>
      <w:sz w:val="20"/>
      <w:szCs w:val="20"/>
    </w:rPr>
  </w:style>
  <w:style w:type="numbering" w:styleId="111111">
    <w:name w:val="Outline List 2"/>
    <w:basedOn w:val="Semlista"/>
    <w:unhideWhenUsed/>
    <w:rsid w:val="00ED14A8"/>
    <w:pPr>
      <w:numPr>
        <w:numId w:val="3"/>
      </w:numPr>
    </w:pPr>
  </w:style>
  <w:style w:type="character" w:customStyle="1" w:styleId="PargrafodaListaCarcter">
    <w:name w:val="Parágrafo da Lista Carácter"/>
    <w:link w:val="PargrafodaLista"/>
    <w:uiPriority w:val="34"/>
    <w:rsid w:val="003A3A9F"/>
    <w:rPr>
      <w:rFonts w:ascii="Calibri" w:eastAsia="Calibri" w:hAnsi="Calibri" w:cs="Times New Roman"/>
    </w:rPr>
  </w:style>
  <w:style w:type="table" w:customStyle="1" w:styleId="Tabelacomgrelha1">
    <w:name w:val="Tabela com grelha1"/>
    <w:basedOn w:val="Tabelanormal"/>
    <w:next w:val="Tabelacomgrelha"/>
    <w:rsid w:val="00505BC6"/>
    <w:pPr>
      <w:spacing w:after="0" w:line="240" w:lineRule="auto"/>
    </w:pPr>
    <w:rPr>
      <w:rFonts w:eastAsia="Times New Roman"/>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iPriority w:val="99"/>
    <w:unhideWhenUsed/>
    <w:rsid w:val="007E598C"/>
    <w:pPr>
      <w:ind w:left="0"/>
    </w:pPr>
    <w:rPr>
      <w:rFonts w:ascii="Garamond" w:eastAsiaTheme="minorHAnsi" w:hAnsi="Garamond" w:cstheme="minorBidi"/>
      <w:spacing w:val="0"/>
    </w:rPr>
  </w:style>
  <w:style w:type="character" w:customStyle="1" w:styleId="TextodenotaderodapCarcter">
    <w:name w:val="Texto de nota de rodapé Carácter"/>
    <w:basedOn w:val="Tipodeletrapredefinidodopargrafo"/>
    <w:link w:val="Textodenotaderodap"/>
    <w:uiPriority w:val="99"/>
    <w:rsid w:val="007E598C"/>
    <w:rPr>
      <w:rFonts w:ascii="Garamond" w:hAnsi="Garamond"/>
      <w:sz w:val="20"/>
      <w:szCs w:val="20"/>
    </w:rPr>
  </w:style>
  <w:style w:type="character" w:styleId="Refdenotaderodap">
    <w:name w:val="footnote reference"/>
    <w:aliases w:val="Char1,Ref,de nota al pie,Footnote number,Z_Footnote Text,RFootnote text,Nota,Footnote symbol,Char,SUPERS,Voetnootmarkering,fr,o,(NECG) Footnote Reference,Footnote Reference Number,Heading 9 Char1,f"/>
    <w:basedOn w:val="Tipodeletrapredefinidodopargrafo"/>
    <w:uiPriority w:val="99"/>
    <w:semiHidden/>
    <w:unhideWhenUsed/>
    <w:rsid w:val="007E598C"/>
    <w:rPr>
      <w:vertAlign w:val="superscript"/>
    </w:rPr>
  </w:style>
  <w:style w:type="paragraph" w:customStyle="1" w:styleId="xl65">
    <w:name w:val="xl65"/>
    <w:basedOn w:val="Normal"/>
    <w:rsid w:val="006378A6"/>
    <w:pPr>
      <w:spacing w:before="100" w:beforeAutospacing="1" w:after="100" w:afterAutospacing="1"/>
      <w:ind w:left="0"/>
    </w:pPr>
    <w:rPr>
      <w:rFonts w:ascii="Times New Roman" w:hAnsi="Times New Roman"/>
      <w:b/>
      <w:bCs/>
      <w:spacing w:val="0"/>
      <w:sz w:val="24"/>
      <w:szCs w:val="24"/>
      <w:lang w:eastAsia="pt-PT"/>
    </w:rPr>
  </w:style>
  <w:style w:type="paragraph" w:styleId="Reviso">
    <w:name w:val="Revision"/>
    <w:hidden/>
    <w:uiPriority w:val="99"/>
    <w:semiHidden/>
    <w:rsid w:val="00E07A61"/>
    <w:pPr>
      <w:spacing w:after="0" w:line="240" w:lineRule="auto"/>
    </w:pPr>
    <w:rPr>
      <w:rFonts w:ascii="Arial" w:eastAsia="Times New Roman" w:hAnsi="Arial" w:cs="Times New Roman"/>
      <w:spacing w:val="-5"/>
      <w:sz w:val="20"/>
      <w:szCs w:val="20"/>
    </w:rPr>
  </w:style>
  <w:style w:type="table" w:customStyle="1" w:styleId="Tabelacomgrelha2">
    <w:name w:val="Tabela com grelha2"/>
    <w:basedOn w:val="Tabelanormal"/>
    <w:next w:val="Tabelacomgrelha"/>
    <w:uiPriority w:val="39"/>
    <w:rsid w:val="00557A8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visitada">
    <w:name w:val="FollowedHyperlink"/>
    <w:basedOn w:val="Tipodeletrapredefinidodopargrafo"/>
    <w:uiPriority w:val="99"/>
    <w:semiHidden/>
    <w:unhideWhenUsed/>
    <w:rsid w:val="00CF642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EA"/>
    <w:pPr>
      <w:spacing w:after="0" w:line="240" w:lineRule="auto"/>
      <w:ind w:left="835"/>
    </w:pPr>
    <w:rPr>
      <w:rFonts w:ascii="Arial" w:eastAsia="Times New Roman" w:hAnsi="Arial" w:cs="Times New Roman"/>
      <w:spacing w:val="-5"/>
      <w:sz w:val="20"/>
      <w:szCs w:val="20"/>
    </w:rPr>
  </w:style>
  <w:style w:type="paragraph" w:styleId="Cabealho1">
    <w:name w:val="heading 1"/>
    <w:basedOn w:val="Normal"/>
    <w:next w:val="Normal"/>
    <w:link w:val="Cabealho1Carcter"/>
    <w:autoRedefine/>
    <w:uiPriority w:val="9"/>
    <w:qFormat/>
    <w:rsid w:val="00C411D7"/>
    <w:pPr>
      <w:keepNext/>
      <w:keepLines/>
      <w:numPr>
        <w:numId w:val="1"/>
      </w:numPr>
      <w:spacing w:before="360" w:after="240" w:line="360" w:lineRule="auto"/>
      <w:ind w:left="426" w:hanging="426"/>
      <w:outlineLvl w:val="0"/>
    </w:pPr>
    <w:rPr>
      <w:rFonts w:eastAsiaTheme="majorEastAsia" w:cs="Arial"/>
      <w:b/>
      <w:smallCaps/>
      <w:sz w:val="22"/>
      <w:szCs w:val="32"/>
    </w:rPr>
  </w:style>
  <w:style w:type="paragraph" w:styleId="Cabealho2">
    <w:name w:val="heading 2"/>
    <w:basedOn w:val="Normal"/>
    <w:next w:val="Normal"/>
    <w:link w:val="Cabealho2Carcter"/>
    <w:autoRedefine/>
    <w:uiPriority w:val="9"/>
    <w:unhideWhenUsed/>
    <w:qFormat/>
    <w:rsid w:val="00E67650"/>
    <w:pPr>
      <w:keepNext/>
      <w:keepLines/>
      <w:numPr>
        <w:numId w:val="2"/>
      </w:numPr>
      <w:spacing w:before="40"/>
      <w:outlineLvl w:val="1"/>
    </w:pPr>
    <w:rPr>
      <w:rFonts w:eastAsiaTheme="majorEastAsia" w:cstheme="majorBidi"/>
      <w:szCs w:val="26"/>
      <w:lang w:eastAsia="pt-PT"/>
    </w:rPr>
  </w:style>
  <w:style w:type="paragraph" w:styleId="Cabealho3">
    <w:name w:val="heading 3"/>
    <w:basedOn w:val="Normal"/>
    <w:next w:val="Normal"/>
    <w:link w:val="Cabealho3Carcter"/>
    <w:uiPriority w:val="9"/>
    <w:unhideWhenUsed/>
    <w:qFormat/>
    <w:rsid w:val="000C132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7E7DF7"/>
    <w:pPr>
      <w:spacing w:after="220" w:line="180" w:lineRule="atLeast"/>
      <w:jc w:val="both"/>
    </w:pPr>
  </w:style>
  <w:style w:type="character" w:customStyle="1" w:styleId="CorpodetextoCarcter">
    <w:name w:val="Corpo de texto Carácter"/>
    <w:basedOn w:val="Tipodeletrapredefinidodopargrafo"/>
    <w:link w:val="Corpodetexto"/>
    <w:rsid w:val="007E7DF7"/>
    <w:rPr>
      <w:rFonts w:ascii="Arial" w:eastAsia="Times New Roman" w:hAnsi="Arial" w:cs="Times New Roman"/>
      <w:spacing w:val="-5"/>
      <w:sz w:val="20"/>
      <w:szCs w:val="20"/>
    </w:rPr>
  </w:style>
  <w:style w:type="paragraph" w:styleId="Rodap">
    <w:name w:val="footer"/>
    <w:basedOn w:val="Normal"/>
    <w:link w:val="RodapCarcter"/>
    <w:uiPriority w:val="99"/>
    <w:rsid w:val="007E7DF7"/>
    <w:pPr>
      <w:keepLines/>
      <w:tabs>
        <w:tab w:val="center" w:pos="4320"/>
        <w:tab w:val="right" w:pos="8640"/>
      </w:tabs>
      <w:spacing w:before="600" w:line="180" w:lineRule="atLeast"/>
      <w:jc w:val="both"/>
    </w:pPr>
    <w:rPr>
      <w:sz w:val="18"/>
    </w:rPr>
  </w:style>
  <w:style w:type="character" w:customStyle="1" w:styleId="RodapCarcter">
    <w:name w:val="Rodapé Carácter"/>
    <w:basedOn w:val="Tipodeletrapredefinidodopargrafo"/>
    <w:link w:val="Rodap"/>
    <w:uiPriority w:val="99"/>
    <w:rsid w:val="007E7DF7"/>
    <w:rPr>
      <w:rFonts w:ascii="Arial" w:eastAsia="Times New Roman" w:hAnsi="Arial" w:cs="Times New Roman"/>
      <w:spacing w:val="-5"/>
      <w:sz w:val="18"/>
      <w:szCs w:val="20"/>
    </w:rPr>
  </w:style>
  <w:style w:type="paragraph" w:styleId="Cabealho">
    <w:name w:val="header"/>
    <w:basedOn w:val="Normal"/>
    <w:link w:val="CabealhoCarcter"/>
    <w:rsid w:val="007E7DF7"/>
    <w:pPr>
      <w:keepLines/>
      <w:tabs>
        <w:tab w:val="center" w:pos="4320"/>
        <w:tab w:val="right" w:pos="8640"/>
      </w:tabs>
      <w:spacing w:after="600" w:line="180" w:lineRule="atLeast"/>
      <w:jc w:val="both"/>
    </w:pPr>
  </w:style>
  <w:style w:type="character" w:customStyle="1" w:styleId="CabealhoCarcter">
    <w:name w:val="Cabeçalho Carácter"/>
    <w:basedOn w:val="Tipodeletrapredefinidodopargrafo"/>
    <w:link w:val="Cabealho"/>
    <w:rsid w:val="007E7DF7"/>
    <w:rPr>
      <w:rFonts w:ascii="Arial" w:eastAsia="Times New Roman" w:hAnsi="Arial" w:cs="Times New Roman"/>
      <w:spacing w:val="-5"/>
      <w:sz w:val="20"/>
      <w:szCs w:val="20"/>
    </w:rPr>
  </w:style>
  <w:style w:type="character" w:customStyle="1" w:styleId="MessageHeaderLabel">
    <w:name w:val="Message Header Label"/>
    <w:rsid w:val="007E7DF7"/>
    <w:rPr>
      <w:b/>
      <w:sz w:val="18"/>
    </w:rPr>
  </w:style>
  <w:style w:type="paragraph" w:styleId="NormalWeb">
    <w:name w:val="Normal (Web)"/>
    <w:basedOn w:val="Normal"/>
    <w:uiPriority w:val="99"/>
    <w:rsid w:val="00F05119"/>
    <w:rPr>
      <w:rFonts w:ascii="Times New Roman" w:hAnsi="Times New Roman"/>
      <w:sz w:val="24"/>
      <w:szCs w:val="24"/>
    </w:rPr>
  </w:style>
  <w:style w:type="paragraph" w:styleId="PargrafodaLista">
    <w:name w:val="List Paragraph"/>
    <w:basedOn w:val="Normal"/>
    <w:link w:val="PargrafodaListaCarcter"/>
    <w:uiPriority w:val="34"/>
    <w:qFormat/>
    <w:rsid w:val="00F05119"/>
    <w:pPr>
      <w:spacing w:after="200" w:line="276" w:lineRule="auto"/>
      <w:ind w:left="720"/>
      <w:contextualSpacing/>
    </w:pPr>
    <w:rPr>
      <w:rFonts w:ascii="Calibri" w:eastAsia="Calibri" w:hAnsi="Calibri"/>
      <w:spacing w:val="0"/>
      <w:sz w:val="22"/>
      <w:szCs w:val="22"/>
    </w:rPr>
  </w:style>
  <w:style w:type="paragraph" w:customStyle="1" w:styleId="ManualNormal">
    <w:name w:val="Manual_Normal"/>
    <w:basedOn w:val="Normal"/>
    <w:link w:val="ManualNormalCarcter"/>
    <w:qFormat/>
    <w:rsid w:val="007D4DA1"/>
    <w:pPr>
      <w:spacing w:before="120" w:after="120" w:line="360" w:lineRule="auto"/>
      <w:ind w:left="0"/>
      <w:jc w:val="both"/>
    </w:pPr>
    <w:rPr>
      <w:rFonts w:eastAsia="Calibri" w:cs="Arial"/>
      <w:spacing w:val="0"/>
    </w:rPr>
  </w:style>
  <w:style w:type="character" w:customStyle="1" w:styleId="ManualNormalCarcter">
    <w:name w:val="Manual_Normal Carácter"/>
    <w:basedOn w:val="Tipodeletrapredefinidodopargrafo"/>
    <w:link w:val="ManualNormal"/>
    <w:rsid w:val="007D4DA1"/>
    <w:rPr>
      <w:rFonts w:ascii="Arial" w:eastAsia="Calibri" w:hAnsi="Arial" w:cs="Arial"/>
      <w:sz w:val="20"/>
      <w:szCs w:val="20"/>
    </w:rPr>
  </w:style>
  <w:style w:type="character" w:styleId="Hiperligao">
    <w:name w:val="Hyperlink"/>
    <w:basedOn w:val="Tipodeletrapredefinidodopargrafo"/>
    <w:rsid w:val="001A033F"/>
    <w:rPr>
      <w:color w:val="0000FF"/>
      <w:u w:val="single"/>
    </w:rPr>
  </w:style>
  <w:style w:type="character" w:customStyle="1" w:styleId="Cabealho1Carcter">
    <w:name w:val="Cabeçalho 1 Carácter"/>
    <w:basedOn w:val="Tipodeletrapredefinidodopargrafo"/>
    <w:link w:val="Cabealho1"/>
    <w:uiPriority w:val="9"/>
    <w:rsid w:val="00C411D7"/>
    <w:rPr>
      <w:rFonts w:ascii="Arial" w:eastAsiaTheme="majorEastAsia" w:hAnsi="Arial" w:cs="Arial"/>
      <w:b/>
      <w:smallCaps/>
      <w:spacing w:val="-5"/>
      <w:szCs w:val="32"/>
    </w:rPr>
  </w:style>
  <w:style w:type="character" w:customStyle="1" w:styleId="Cabealho2Carcter">
    <w:name w:val="Cabeçalho 2 Carácter"/>
    <w:basedOn w:val="Tipodeletrapredefinidodopargrafo"/>
    <w:link w:val="Cabealho2"/>
    <w:uiPriority w:val="9"/>
    <w:rsid w:val="000C1320"/>
    <w:rPr>
      <w:rFonts w:ascii="Arial" w:eastAsiaTheme="majorEastAsia" w:hAnsi="Arial" w:cstheme="majorBidi"/>
      <w:spacing w:val="-5"/>
      <w:sz w:val="20"/>
      <w:szCs w:val="26"/>
      <w:lang w:eastAsia="pt-PT"/>
    </w:rPr>
  </w:style>
  <w:style w:type="character" w:customStyle="1" w:styleId="Cabealho3Carcter">
    <w:name w:val="Cabeçalho 3 Carácter"/>
    <w:basedOn w:val="Tipodeletrapredefinidodopargrafo"/>
    <w:link w:val="Cabealho3"/>
    <w:uiPriority w:val="9"/>
    <w:rsid w:val="000C1320"/>
    <w:rPr>
      <w:rFonts w:asciiTheme="majorHAnsi" w:eastAsiaTheme="majorEastAsia" w:hAnsiTheme="majorHAnsi" w:cstheme="majorBidi"/>
      <w:color w:val="1F4D78" w:themeColor="accent1" w:themeShade="7F"/>
      <w:spacing w:val="-5"/>
      <w:sz w:val="24"/>
      <w:szCs w:val="24"/>
    </w:rPr>
  </w:style>
  <w:style w:type="table" w:styleId="Tabelacomgrelha">
    <w:name w:val="Table Grid"/>
    <w:basedOn w:val="Tabelanormal"/>
    <w:uiPriority w:val="59"/>
    <w:rsid w:val="00E249F9"/>
    <w:pPr>
      <w:spacing w:after="0" w:line="240" w:lineRule="auto"/>
      <w:ind w:left="835"/>
    </w:pPr>
    <w:rPr>
      <w:rFonts w:ascii="Times New Roman" w:eastAsia="SimSu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0802"/>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cter"/>
    <w:uiPriority w:val="99"/>
    <w:semiHidden/>
    <w:unhideWhenUsed/>
    <w:rsid w:val="00FA0802"/>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FA0802"/>
    <w:rPr>
      <w:rFonts w:ascii="Segoe UI" w:eastAsia="Times New Roman" w:hAnsi="Segoe UI" w:cs="Segoe UI"/>
      <w:spacing w:val="-5"/>
      <w:sz w:val="18"/>
      <w:szCs w:val="18"/>
    </w:rPr>
  </w:style>
  <w:style w:type="character" w:styleId="Refdecomentrio">
    <w:name w:val="annotation reference"/>
    <w:basedOn w:val="Tipodeletrapredefinidodopargrafo"/>
    <w:uiPriority w:val="99"/>
    <w:semiHidden/>
    <w:unhideWhenUsed/>
    <w:rsid w:val="005D4EA0"/>
    <w:rPr>
      <w:sz w:val="16"/>
      <w:szCs w:val="16"/>
    </w:rPr>
  </w:style>
  <w:style w:type="paragraph" w:styleId="Textodecomentrio">
    <w:name w:val="annotation text"/>
    <w:basedOn w:val="Normal"/>
    <w:link w:val="TextodecomentrioCarcter"/>
    <w:uiPriority w:val="99"/>
    <w:semiHidden/>
    <w:unhideWhenUsed/>
    <w:rsid w:val="005D4EA0"/>
  </w:style>
  <w:style w:type="character" w:customStyle="1" w:styleId="TextodecomentrioCarcter">
    <w:name w:val="Texto de comentário Carácter"/>
    <w:basedOn w:val="Tipodeletrapredefinidodopargrafo"/>
    <w:link w:val="Textodecomentrio"/>
    <w:uiPriority w:val="99"/>
    <w:semiHidden/>
    <w:rsid w:val="005D4EA0"/>
    <w:rPr>
      <w:rFonts w:ascii="Arial" w:eastAsia="Times New Roman" w:hAnsi="Arial" w:cs="Times New Roman"/>
      <w:spacing w:val="-5"/>
      <w:sz w:val="20"/>
      <w:szCs w:val="20"/>
    </w:rPr>
  </w:style>
  <w:style w:type="paragraph" w:styleId="Assuntodecomentrio">
    <w:name w:val="annotation subject"/>
    <w:basedOn w:val="Textodecomentrio"/>
    <w:next w:val="Textodecomentrio"/>
    <w:link w:val="AssuntodecomentrioCarcter"/>
    <w:uiPriority w:val="99"/>
    <w:semiHidden/>
    <w:unhideWhenUsed/>
    <w:rsid w:val="005D4EA0"/>
    <w:rPr>
      <w:b/>
      <w:bCs/>
    </w:rPr>
  </w:style>
  <w:style w:type="character" w:customStyle="1" w:styleId="AssuntodecomentrioCarcter">
    <w:name w:val="Assunto de comentário Carácter"/>
    <w:basedOn w:val="TextodecomentrioCarcter"/>
    <w:link w:val="Assuntodecomentrio"/>
    <w:uiPriority w:val="99"/>
    <w:semiHidden/>
    <w:rsid w:val="005D4EA0"/>
    <w:rPr>
      <w:rFonts w:ascii="Arial" w:eastAsia="Times New Roman" w:hAnsi="Arial" w:cs="Times New Roman"/>
      <w:b/>
      <w:bCs/>
      <w:spacing w:val="-5"/>
      <w:sz w:val="20"/>
      <w:szCs w:val="20"/>
    </w:rPr>
  </w:style>
  <w:style w:type="numbering" w:styleId="111111">
    <w:name w:val="Outline List 2"/>
    <w:basedOn w:val="Semlista"/>
    <w:unhideWhenUsed/>
    <w:rsid w:val="00ED14A8"/>
    <w:pPr>
      <w:numPr>
        <w:numId w:val="3"/>
      </w:numPr>
    </w:pPr>
  </w:style>
  <w:style w:type="character" w:customStyle="1" w:styleId="PargrafodaListaCarcter">
    <w:name w:val="Parágrafo da Lista Carácter"/>
    <w:link w:val="PargrafodaLista"/>
    <w:uiPriority w:val="34"/>
    <w:rsid w:val="003A3A9F"/>
    <w:rPr>
      <w:rFonts w:ascii="Calibri" w:eastAsia="Calibri" w:hAnsi="Calibri" w:cs="Times New Roman"/>
    </w:rPr>
  </w:style>
  <w:style w:type="table" w:customStyle="1" w:styleId="Tabelacomgrelha1">
    <w:name w:val="Tabela com grelha1"/>
    <w:basedOn w:val="Tabelanormal"/>
    <w:next w:val="Tabelacomgrelha"/>
    <w:rsid w:val="00505BC6"/>
    <w:pPr>
      <w:spacing w:after="0" w:line="240" w:lineRule="auto"/>
    </w:pPr>
    <w:rPr>
      <w:rFonts w:eastAsia="Times New Roman"/>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uiPriority w:val="99"/>
    <w:unhideWhenUsed/>
    <w:rsid w:val="007E598C"/>
    <w:pPr>
      <w:ind w:left="0"/>
    </w:pPr>
    <w:rPr>
      <w:rFonts w:ascii="Garamond" w:eastAsiaTheme="minorHAnsi" w:hAnsi="Garamond" w:cstheme="minorBidi"/>
      <w:spacing w:val="0"/>
    </w:rPr>
  </w:style>
  <w:style w:type="character" w:customStyle="1" w:styleId="TextodenotaderodapCarcter">
    <w:name w:val="Texto de nota de rodapé Carácter"/>
    <w:basedOn w:val="Tipodeletrapredefinidodopargrafo"/>
    <w:link w:val="Textodenotaderodap"/>
    <w:uiPriority w:val="99"/>
    <w:rsid w:val="007E598C"/>
    <w:rPr>
      <w:rFonts w:ascii="Garamond" w:hAnsi="Garamond"/>
      <w:sz w:val="20"/>
      <w:szCs w:val="20"/>
    </w:rPr>
  </w:style>
  <w:style w:type="character" w:styleId="Refdenotaderodap">
    <w:name w:val="footnote reference"/>
    <w:aliases w:val="Char1,Ref,de nota al pie,Footnote number,Z_Footnote Text,RFootnote text,Nota,Footnote symbol,Char,SUPERS,Voetnootmarkering,fr,o,(NECG) Footnote Reference,Footnote Reference Number,Heading 9 Char1,f"/>
    <w:basedOn w:val="Tipodeletrapredefinidodopargrafo"/>
    <w:uiPriority w:val="99"/>
    <w:semiHidden/>
    <w:unhideWhenUsed/>
    <w:rsid w:val="007E598C"/>
    <w:rPr>
      <w:vertAlign w:val="superscript"/>
    </w:rPr>
  </w:style>
  <w:style w:type="paragraph" w:customStyle="1" w:styleId="xl65">
    <w:name w:val="xl65"/>
    <w:basedOn w:val="Normal"/>
    <w:rsid w:val="006378A6"/>
    <w:pPr>
      <w:spacing w:before="100" w:beforeAutospacing="1" w:after="100" w:afterAutospacing="1"/>
      <w:ind w:left="0"/>
    </w:pPr>
    <w:rPr>
      <w:rFonts w:ascii="Times New Roman" w:hAnsi="Times New Roman"/>
      <w:b/>
      <w:bCs/>
      <w:spacing w:val="0"/>
      <w:sz w:val="24"/>
      <w:szCs w:val="24"/>
      <w:lang w:eastAsia="pt-PT"/>
    </w:rPr>
  </w:style>
  <w:style w:type="paragraph" w:styleId="Reviso">
    <w:name w:val="Revision"/>
    <w:hidden/>
    <w:uiPriority w:val="99"/>
    <w:semiHidden/>
    <w:rsid w:val="00E07A61"/>
    <w:pPr>
      <w:spacing w:after="0" w:line="240" w:lineRule="auto"/>
    </w:pPr>
    <w:rPr>
      <w:rFonts w:ascii="Arial" w:eastAsia="Times New Roman" w:hAnsi="Arial" w:cs="Times New Roman"/>
      <w:spacing w:val="-5"/>
      <w:sz w:val="20"/>
      <w:szCs w:val="20"/>
    </w:rPr>
  </w:style>
  <w:style w:type="table" w:customStyle="1" w:styleId="Tabelacomgrelha2">
    <w:name w:val="Tabela com grelha2"/>
    <w:basedOn w:val="Tabelanormal"/>
    <w:next w:val="Tabelacomgrelha"/>
    <w:uiPriority w:val="39"/>
    <w:rsid w:val="00557A8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visitada">
    <w:name w:val="FollowedHyperlink"/>
    <w:basedOn w:val="Tipodeletrapredefinidodopargrafo"/>
    <w:uiPriority w:val="99"/>
    <w:semiHidden/>
    <w:unhideWhenUsed/>
    <w:rsid w:val="00CF6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12825">
      <w:bodyDiv w:val="1"/>
      <w:marLeft w:val="0"/>
      <w:marRight w:val="0"/>
      <w:marTop w:val="0"/>
      <w:marBottom w:val="0"/>
      <w:divBdr>
        <w:top w:val="none" w:sz="0" w:space="0" w:color="auto"/>
        <w:left w:val="none" w:sz="0" w:space="0" w:color="auto"/>
        <w:bottom w:val="none" w:sz="0" w:space="0" w:color="auto"/>
        <w:right w:val="none" w:sz="0" w:space="0" w:color="auto"/>
      </w:divBdr>
    </w:div>
    <w:div w:id="778337148">
      <w:bodyDiv w:val="1"/>
      <w:marLeft w:val="0"/>
      <w:marRight w:val="0"/>
      <w:marTop w:val="0"/>
      <w:marBottom w:val="0"/>
      <w:divBdr>
        <w:top w:val="none" w:sz="0" w:space="0" w:color="auto"/>
        <w:left w:val="none" w:sz="0" w:space="0" w:color="auto"/>
        <w:bottom w:val="none" w:sz="0" w:space="0" w:color="auto"/>
        <w:right w:val="none" w:sz="0" w:space="0" w:color="auto"/>
      </w:divBdr>
    </w:div>
    <w:div w:id="847910608">
      <w:bodyDiv w:val="1"/>
      <w:marLeft w:val="0"/>
      <w:marRight w:val="0"/>
      <w:marTop w:val="0"/>
      <w:marBottom w:val="0"/>
      <w:divBdr>
        <w:top w:val="none" w:sz="0" w:space="0" w:color="auto"/>
        <w:left w:val="none" w:sz="0" w:space="0" w:color="auto"/>
        <w:bottom w:val="none" w:sz="0" w:space="0" w:color="auto"/>
        <w:right w:val="none" w:sz="0" w:space="0" w:color="auto"/>
      </w:divBdr>
    </w:div>
    <w:div w:id="910582439">
      <w:bodyDiv w:val="1"/>
      <w:marLeft w:val="0"/>
      <w:marRight w:val="0"/>
      <w:marTop w:val="0"/>
      <w:marBottom w:val="0"/>
      <w:divBdr>
        <w:top w:val="none" w:sz="0" w:space="0" w:color="auto"/>
        <w:left w:val="none" w:sz="0" w:space="0" w:color="auto"/>
        <w:bottom w:val="none" w:sz="0" w:space="0" w:color="auto"/>
        <w:right w:val="none" w:sz="0" w:space="0" w:color="auto"/>
      </w:divBdr>
    </w:div>
    <w:div w:id="1074546985">
      <w:bodyDiv w:val="1"/>
      <w:marLeft w:val="0"/>
      <w:marRight w:val="0"/>
      <w:marTop w:val="0"/>
      <w:marBottom w:val="0"/>
      <w:divBdr>
        <w:top w:val="none" w:sz="0" w:space="0" w:color="auto"/>
        <w:left w:val="none" w:sz="0" w:space="0" w:color="auto"/>
        <w:bottom w:val="none" w:sz="0" w:space="0" w:color="auto"/>
        <w:right w:val="none" w:sz="0" w:space="0" w:color="auto"/>
      </w:divBdr>
    </w:div>
    <w:div w:id="1122457619">
      <w:bodyDiv w:val="1"/>
      <w:marLeft w:val="0"/>
      <w:marRight w:val="0"/>
      <w:marTop w:val="0"/>
      <w:marBottom w:val="0"/>
      <w:divBdr>
        <w:top w:val="none" w:sz="0" w:space="0" w:color="auto"/>
        <w:left w:val="none" w:sz="0" w:space="0" w:color="auto"/>
        <w:bottom w:val="none" w:sz="0" w:space="0" w:color="auto"/>
        <w:right w:val="none" w:sz="0" w:space="0" w:color="auto"/>
      </w:divBdr>
    </w:div>
    <w:div w:id="11837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A5AB2-7FAF-4DAA-82DD-00756487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715</Words>
  <Characters>3865</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Direção Geral de Energia e Geologia</Company>
  <LinksUpToDate>false</LinksUpToDate>
  <CharactersWithSpaces>4571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Pimenta</dc:creator>
  <cp:lastModifiedBy>PORL</cp:lastModifiedBy>
  <cp:revision>7</cp:revision>
  <cp:lastPrinted>2019-07-26T11:26:00Z</cp:lastPrinted>
  <dcterms:created xsi:type="dcterms:W3CDTF">2019-07-31T09:42:00Z</dcterms:created>
  <dcterms:modified xsi:type="dcterms:W3CDTF">2019-08-06T09:03:00Z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UFAAhWon0ndq8EwBfVEOpeh2Gjxrj+cLd6h4T6ZcbsWv57UhATKgp1nz31SmwqA/4u0nf7rH0xfZVEs4
yAzcR5opafn5ZkP56Wx1BgNSmx8N8M+NDQ4lYrRNmv0rLfhDGfCmHBxOeN2hDOkDrGuM6ca5yPvv
IAWABUoI1IuJpUcVNGn+UEEbXk7977WwKVas60XBvOHoW3rxKoiqgoUXShvqwjcKukOj1Y8+6H6n
bSWQdQtmPQmGV2T99</vt:lpwstr>
  </property>
  <property fmtid="{D5CDD505-2E9C-101B-9397-08002B2CF9AE}" pid="3" name="MAIL_MSG_ID2">
    <vt:lpwstr>gPk9nl+ttT0pODna0KETZ218tKg4tS9bM05rW73+aHPe9gRv2r6qxZLHEIz
KPeb1IjFJywLqOCQPiGUilK2Qcw=</vt:lpwstr>
  </property>
  <property fmtid="{D5CDD505-2E9C-101B-9397-08002B2CF9AE}" pid="4" name="RESPONSE_SENDER_NAME">
    <vt:lpwstr>4AAA9DNYQidmug7JnOsqQSz/HZwoURJGQDU8ucS7tYmtqvltGW4jhpkUBA==</vt:lpwstr>
  </property>
  <property fmtid="{D5CDD505-2E9C-101B-9397-08002B2CF9AE}" pid="5" name="EMAIL_OWNER_ADDRESS">
    <vt:lpwstr>4AAA4Lxe55UJ0C9ezzRa+BBmMzJCj5Q5VZb5JYBnSdKq4IwOlEIxnc/f1Q==</vt:lpwstr>
  </property>
</Properties>
</file>